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702" w:rsidRPr="00065D08" w:rsidRDefault="00E46702" w:rsidP="00E46702">
      <w:pPr>
        <w:kinsoku w:val="0"/>
        <w:autoSpaceDE/>
        <w:adjustRightInd w:val="0"/>
        <w:jc w:val="center"/>
        <w:rPr>
          <w:b/>
          <w:color w:val="000000" w:themeColor="text1"/>
          <w:spacing w:val="200"/>
          <w:kern w:val="0"/>
          <w:sz w:val="40"/>
        </w:rPr>
      </w:pPr>
      <w:r w:rsidRPr="00065D08">
        <w:rPr>
          <w:rFonts w:hint="eastAsia"/>
          <w:b/>
          <w:color w:val="000000" w:themeColor="text1"/>
          <w:spacing w:val="200"/>
          <w:kern w:val="0"/>
          <w:sz w:val="40"/>
        </w:rPr>
        <w:t>糾正案文</w:t>
      </w:r>
    </w:p>
    <w:p w:rsidR="00E46702" w:rsidRPr="00065D08" w:rsidRDefault="00E46702" w:rsidP="00E46702">
      <w:pPr>
        <w:pStyle w:val="1"/>
        <w:rPr>
          <w:color w:val="000000" w:themeColor="text1"/>
        </w:rPr>
      </w:pPr>
      <w:r w:rsidRPr="00065D08">
        <w:rPr>
          <w:rFonts w:hint="eastAsia"/>
          <w:color w:val="000000" w:themeColor="text1"/>
        </w:rPr>
        <w:t>被糾正機關：法務部、臺灣臺北地方法院檢察署。</w:t>
      </w:r>
    </w:p>
    <w:p w:rsidR="00E46702" w:rsidRPr="00065D08" w:rsidRDefault="00E46702" w:rsidP="00F201DD">
      <w:pPr>
        <w:pStyle w:val="1"/>
        <w:rPr>
          <w:color w:val="000000" w:themeColor="text1"/>
        </w:rPr>
      </w:pPr>
      <w:r w:rsidRPr="00065D08">
        <w:rPr>
          <w:rFonts w:hint="eastAsia"/>
          <w:color w:val="000000" w:themeColor="text1"/>
        </w:rPr>
        <w:t>案　　　由：</w:t>
      </w:r>
      <w:r w:rsidRPr="00065D08">
        <w:rPr>
          <w:rFonts w:hint="eastAsia"/>
          <w:color w:val="000000" w:themeColor="text1"/>
        </w:rPr>
        <w:tab/>
        <w:t>法務部訂頒「地方法院檢察署檢察事務官事務分配要點」第4點第1款、第5款規定</w:t>
      </w:r>
      <w:r w:rsidR="0089262E" w:rsidRPr="00065D08">
        <w:rPr>
          <w:rFonts w:hint="eastAsia"/>
          <w:color w:val="000000" w:themeColor="text1"/>
        </w:rPr>
        <w:t>，</w:t>
      </w:r>
      <w:r w:rsidRPr="00065D08">
        <w:rPr>
          <w:rFonts w:hint="eastAsia"/>
          <w:color w:val="000000" w:themeColor="text1"/>
        </w:rPr>
        <w:t>容任偵查中</w:t>
      </w:r>
      <w:r w:rsidR="00F46888" w:rsidRPr="00065D08">
        <w:rPr>
          <w:rFonts w:hint="eastAsia"/>
          <w:color w:val="000000" w:themeColor="text1"/>
        </w:rPr>
        <w:t>「例行性事務」之</w:t>
      </w:r>
      <w:r w:rsidRPr="00065D08">
        <w:rPr>
          <w:rFonts w:hint="eastAsia"/>
          <w:color w:val="000000" w:themeColor="text1"/>
        </w:rPr>
        <w:t>特定類型案件，得</w:t>
      </w:r>
      <w:r w:rsidR="00F46888" w:rsidRPr="00065D08">
        <w:rPr>
          <w:rFonts w:hint="eastAsia"/>
          <w:color w:val="000000" w:themeColor="text1"/>
        </w:rPr>
        <w:t>直接</w:t>
      </w:r>
      <w:r w:rsidRPr="00065D08">
        <w:rPr>
          <w:rFonts w:hint="eastAsia"/>
          <w:color w:val="000000" w:themeColor="text1"/>
        </w:rPr>
        <w:t>由檢察事務官實施偵查、提起公訴等作為，與法院組織法設</w:t>
      </w:r>
      <w:r w:rsidR="00F46888" w:rsidRPr="00065D08">
        <w:rPr>
          <w:rFonts w:hint="eastAsia"/>
          <w:color w:val="000000" w:themeColor="text1"/>
        </w:rPr>
        <w:t>置</w:t>
      </w:r>
      <w:r w:rsidRPr="00065D08">
        <w:rPr>
          <w:rFonts w:hint="eastAsia"/>
          <w:color w:val="000000" w:themeColor="text1"/>
        </w:rPr>
        <w:t>檢察事務官制度目的</w:t>
      </w:r>
      <w:r w:rsidR="00505139" w:rsidRPr="00065D08">
        <w:rPr>
          <w:rFonts w:hint="eastAsia"/>
          <w:color w:val="000000" w:themeColor="text1"/>
        </w:rPr>
        <w:t>有</w:t>
      </w:r>
      <w:r w:rsidR="00F46888" w:rsidRPr="00065D08">
        <w:rPr>
          <w:rFonts w:hint="eastAsia"/>
          <w:color w:val="000000" w:themeColor="text1"/>
        </w:rPr>
        <w:t>違</w:t>
      </w:r>
      <w:r w:rsidRPr="00065D08">
        <w:rPr>
          <w:rFonts w:hint="eastAsia"/>
          <w:color w:val="000000" w:themeColor="text1"/>
        </w:rPr>
        <w:t>。</w:t>
      </w:r>
      <w:r w:rsidR="00347E4E" w:rsidRPr="00065D08">
        <w:rPr>
          <w:rFonts w:hint="eastAsia"/>
          <w:color w:val="000000" w:themeColor="text1"/>
        </w:rPr>
        <w:t>臺灣</w:t>
      </w:r>
      <w:r w:rsidRPr="00065D08">
        <w:rPr>
          <w:rFonts w:hint="eastAsia"/>
          <w:color w:val="000000" w:themeColor="text1"/>
        </w:rPr>
        <w:t>臺北地</w:t>
      </w:r>
      <w:r w:rsidR="00347E4E" w:rsidRPr="00065D08">
        <w:rPr>
          <w:rFonts w:hint="eastAsia"/>
          <w:color w:val="000000" w:themeColor="text1"/>
        </w:rPr>
        <w:t>方法院檢察</w:t>
      </w:r>
      <w:r w:rsidRPr="00065D08">
        <w:rPr>
          <w:rFonts w:hint="eastAsia"/>
          <w:color w:val="000000" w:themeColor="text1"/>
        </w:rPr>
        <w:t>署未明確</w:t>
      </w:r>
      <w:r w:rsidR="00F46888" w:rsidRPr="00065D08">
        <w:rPr>
          <w:rFonts w:hint="eastAsia"/>
          <w:color w:val="000000" w:themeColor="text1"/>
        </w:rPr>
        <w:t>限制</w:t>
      </w:r>
      <w:r w:rsidRPr="00065D08">
        <w:rPr>
          <w:rFonts w:hint="eastAsia"/>
          <w:color w:val="000000" w:themeColor="text1"/>
        </w:rPr>
        <w:t>檢察事務官辦理案件數量</w:t>
      </w:r>
      <w:r w:rsidR="00F46888" w:rsidRPr="00065D08">
        <w:rPr>
          <w:rFonts w:hint="eastAsia"/>
          <w:color w:val="000000" w:themeColor="text1"/>
        </w:rPr>
        <w:t>，</w:t>
      </w:r>
      <w:r w:rsidRPr="00065D08">
        <w:rPr>
          <w:rFonts w:hint="eastAsia"/>
          <w:color w:val="000000" w:themeColor="text1"/>
        </w:rPr>
        <w:t>且</w:t>
      </w:r>
      <w:r w:rsidR="00F46888" w:rsidRPr="00065D08">
        <w:rPr>
          <w:rFonts w:hint="eastAsia"/>
          <w:color w:val="000000" w:themeColor="text1"/>
        </w:rPr>
        <w:t>檢察首長</w:t>
      </w:r>
      <w:r w:rsidRPr="00065D08">
        <w:rPr>
          <w:rFonts w:hint="eastAsia"/>
          <w:color w:val="000000" w:themeColor="text1"/>
        </w:rPr>
        <w:t>未依法官法第93</w:t>
      </w:r>
      <w:r w:rsidR="00F201DD" w:rsidRPr="00065D08">
        <w:rPr>
          <w:rFonts w:hint="eastAsia"/>
          <w:color w:val="000000" w:themeColor="text1"/>
        </w:rPr>
        <w:t>第1項第2款、第</w:t>
      </w:r>
      <w:r w:rsidRPr="00065D08">
        <w:rPr>
          <w:rFonts w:hint="eastAsia"/>
          <w:color w:val="000000" w:themeColor="text1"/>
        </w:rPr>
        <w:t>94</w:t>
      </w:r>
      <w:r w:rsidR="00412E8C" w:rsidRPr="00065D08">
        <w:rPr>
          <w:rFonts w:hint="eastAsia"/>
          <w:color w:val="000000" w:themeColor="text1"/>
        </w:rPr>
        <w:t>條</w:t>
      </w:r>
      <w:r w:rsidRPr="00065D08">
        <w:rPr>
          <w:rFonts w:hint="eastAsia"/>
          <w:color w:val="000000" w:themeColor="text1"/>
        </w:rPr>
        <w:t>等規定，</w:t>
      </w:r>
      <w:r w:rsidR="00F46888" w:rsidRPr="00065D08">
        <w:rPr>
          <w:rFonts w:hint="eastAsia"/>
          <w:color w:val="000000" w:themeColor="text1"/>
        </w:rPr>
        <w:t>對於積案過多之檢察官，行使</w:t>
      </w:r>
      <w:r w:rsidRPr="00065D08">
        <w:rPr>
          <w:rFonts w:hint="eastAsia"/>
          <w:color w:val="000000" w:themeColor="text1"/>
        </w:rPr>
        <w:t>相關之指揮監督權，放任檢察官可以無上限地將案件</w:t>
      </w:r>
      <w:r w:rsidR="00ED768A" w:rsidRPr="00065D08">
        <w:rPr>
          <w:rFonts w:hint="eastAsia"/>
          <w:color w:val="000000" w:themeColor="text1"/>
        </w:rPr>
        <w:t>交與</w:t>
      </w:r>
      <w:r w:rsidRPr="00065D08">
        <w:rPr>
          <w:rFonts w:hint="eastAsia"/>
          <w:color w:val="000000" w:themeColor="text1"/>
        </w:rPr>
        <w:t>檢察事務官辦理，作為清理積案方法</w:t>
      </w:r>
      <w:r w:rsidR="00F46888" w:rsidRPr="00065D08">
        <w:rPr>
          <w:rFonts w:hint="eastAsia"/>
          <w:color w:val="000000" w:themeColor="text1"/>
        </w:rPr>
        <w:t>；</w:t>
      </w:r>
      <w:r w:rsidRPr="00065D08">
        <w:rPr>
          <w:rFonts w:hint="eastAsia"/>
          <w:color w:val="000000" w:themeColor="text1"/>
        </w:rPr>
        <w:t>且就徐仕瑋檢察官</w:t>
      </w:r>
      <w:r w:rsidR="00ED768A" w:rsidRPr="00065D08">
        <w:rPr>
          <w:rFonts w:hint="eastAsia"/>
          <w:color w:val="000000" w:themeColor="text1"/>
        </w:rPr>
        <w:t>交與</w:t>
      </w:r>
      <w:r w:rsidRPr="00065D08">
        <w:rPr>
          <w:rFonts w:hint="eastAsia"/>
          <w:color w:val="000000" w:themeColor="text1"/>
        </w:rPr>
        <w:t>檢察事務官辦理之案件，未能確實管控辦案品質，以致未發覺案卷文書</w:t>
      </w:r>
      <w:r w:rsidR="00F46888" w:rsidRPr="00065D08">
        <w:rPr>
          <w:rFonts w:hint="eastAsia"/>
          <w:color w:val="000000" w:themeColor="text1"/>
        </w:rPr>
        <w:t>有</w:t>
      </w:r>
      <w:r w:rsidRPr="00065D08">
        <w:rPr>
          <w:rFonts w:hint="eastAsia"/>
          <w:color w:val="000000" w:themeColor="text1"/>
        </w:rPr>
        <w:t>時序錯誤</w:t>
      </w:r>
      <w:r w:rsidR="00F46888" w:rsidRPr="00065D08">
        <w:rPr>
          <w:rFonts w:hint="eastAsia"/>
          <w:color w:val="000000" w:themeColor="text1"/>
        </w:rPr>
        <w:t>之瑕疵</w:t>
      </w:r>
      <w:r w:rsidRPr="00065D08">
        <w:rPr>
          <w:rFonts w:hint="eastAsia"/>
          <w:color w:val="000000" w:themeColor="text1"/>
        </w:rPr>
        <w:t>。以上機關均核有違失</w:t>
      </w:r>
      <w:r w:rsidRPr="00065D08">
        <w:rPr>
          <w:rFonts w:hAnsi="標楷體" w:hint="eastAsia"/>
          <w:color w:val="000000" w:themeColor="text1"/>
        </w:rPr>
        <w:t>，</w:t>
      </w:r>
      <w:r w:rsidRPr="00065D08">
        <w:rPr>
          <w:rFonts w:hint="eastAsia"/>
          <w:color w:val="000000" w:themeColor="text1"/>
        </w:rPr>
        <w:t>爰依法提案糾正。</w:t>
      </w:r>
    </w:p>
    <w:p w:rsidR="00E46702" w:rsidRPr="00065D08" w:rsidRDefault="00E46702" w:rsidP="00E46702">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65D08">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46702" w:rsidRPr="00065D08" w:rsidRDefault="00E46702" w:rsidP="00E46702">
      <w:pPr>
        <w:tabs>
          <w:tab w:val="left" w:pos="567"/>
        </w:tabs>
        <w:ind w:leftChars="200" w:left="680" w:firstLineChars="200" w:firstLine="680"/>
        <w:rPr>
          <w:rFonts w:hAnsi="標楷體"/>
          <w:color w:val="000000" w:themeColor="text1"/>
          <w:spacing w:val="-6"/>
          <w:kern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065D08">
        <w:rPr>
          <w:rFonts w:hint="eastAsia"/>
          <w:bCs/>
          <w:color w:val="000000" w:themeColor="text1"/>
          <w:kern w:val="32"/>
        </w:rPr>
        <w:t>有關臺灣臺北地方法院檢察署前檢察官徐仕瑋因長期懈怠職務，稽延案件之進行，情節重大，經檢察官評鑑委員會評鑑決議，認有懲戒之必要，爰依法官法規定移送本院審查，並建議罰款任職時月俸給總額</w:t>
      </w:r>
      <w:r w:rsidR="00B263DF" w:rsidRPr="00065D08">
        <w:rPr>
          <w:rFonts w:hint="eastAsia"/>
          <w:bCs/>
          <w:color w:val="000000" w:themeColor="text1"/>
          <w:kern w:val="32"/>
        </w:rPr>
        <w:t>3</w:t>
      </w:r>
      <w:r w:rsidRPr="00065D08">
        <w:rPr>
          <w:rFonts w:hint="eastAsia"/>
          <w:bCs/>
          <w:color w:val="000000" w:themeColor="text1"/>
          <w:kern w:val="32"/>
        </w:rPr>
        <w:t>個月。</w:t>
      </w:r>
      <w:r w:rsidRPr="00065D08">
        <w:rPr>
          <w:rFonts w:hint="eastAsia"/>
          <w:color w:val="000000" w:themeColor="text1"/>
          <w:kern w:val="32"/>
        </w:rPr>
        <w:t>經本院深入調查發現，徐仕瑋拖延案件長期不結案，除對人民訴訟權益影響甚鉅外，另其將大量案件交由檢察事務官製作結案書類，亦違反法院組織法之規定</w:t>
      </w:r>
      <w:r w:rsidRPr="00065D08">
        <w:rPr>
          <w:rFonts w:hint="eastAsia"/>
          <w:bCs/>
          <w:color w:val="000000" w:themeColor="text1"/>
          <w:kern w:val="32"/>
        </w:rPr>
        <w:t>，業經本院調閱臺灣臺北地方法院檢察署（下稱臺北地檢署）、臺灣臺南地方法院檢察署（下稱臺南地檢署）、法務部及其所屬各地方法院檢察署、法務部司法官學院等機關卷證</w:t>
      </w:r>
      <w:r w:rsidRPr="00065D08">
        <w:rPr>
          <w:rFonts w:hint="eastAsia"/>
          <w:bCs/>
          <w:color w:val="000000" w:themeColor="text1"/>
          <w:kern w:val="32"/>
        </w:rPr>
        <w:lastRenderedPageBreak/>
        <w:t>資料，並於民國（下同）105年5月30日詢問徐仕瑋、同年6月17日詢問臺北地檢署、臺南地檢署、法務部及其所屬法務部司法官學院等機關主管及相關人員，調查結果認法務部及臺北地檢署確有違失，應予糾正促其注意改善。茲臚列事實與理由如下</w:t>
      </w:r>
      <w:r w:rsidRPr="00065D08">
        <w:rPr>
          <w:rFonts w:hAnsi="標楷體" w:hint="eastAsia"/>
          <w:color w:val="000000" w:themeColor="text1"/>
          <w:spacing w:val="-6"/>
          <w:kern w:val="32"/>
        </w:rPr>
        <w:t>：</w:t>
      </w:r>
    </w:p>
    <w:p w:rsidR="00B263DF" w:rsidRPr="00065D08" w:rsidRDefault="00B263DF" w:rsidP="00B263DF">
      <w:pPr>
        <w:pStyle w:val="2"/>
        <w:rPr>
          <w:b w:val="0"/>
          <w:color w:val="000000" w:themeColor="text1"/>
        </w:rPr>
      </w:pPr>
      <w:r w:rsidRPr="00065D08">
        <w:rPr>
          <w:rFonts w:hint="eastAsia"/>
          <w:color w:val="000000" w:themeColor="text1"/>
        </w:rPr>
        <w:t>法務部訂頒「地方法院檢察署檢察事務官事務分配要點」之第4點，雖明確規範須由檢察官親自處理事項，但法務部105年4月15日法人字第10500547320號函復本院稱同點第1款規定，檢察事務官製作之「卷證分析報告」，若檢察官指揮檢察事務官以起訴書、聲請簡易判決處刑書、緩起訴處分書、不起訴處分書或他字案簽結公文等結案書類格式擬具「卷證分析報告」，亦與上開要點規定無違等語。依此說法，則「卷證分析報告」與檢察官結案書類實質等同，幾可認定。且同點第5款「例行性事務」內涵，係委由各地檢署因地制宜訂定事務類型，形同將偵查中某特定類型案件，明定容許檢察事務官實施偵查、提起公訴等作為，臺灣雲林地方法院檢察署甚至明定部分「例行性事務」案件檢察事務官收案後，得自行負責偵查並結案，實質造成檢察官只剩下蓋章功能。上述情事均與法院組織法設置檢察事務官制度目的有違，核有嚴重違失。</w:t>
      </w:r>
    </w:p>
    <w:p w:rsidR="00E46702" w:rsidRPr="00065D08" w:rsidRDefault="00E46702" w:rsidP="00E46702">
      <w:pPr>
        <w:numPr>
          <w:ilvl w:val="2"/>
          <w:numId w:val="26"/>
        </w:numPr>
        <w:outlineLvl w:val="2"/>
        <w:rPr>
          <w:rFonts w:hAnsi="Arial"/>
          <w:bCs/>
          <w:color w:val="000000" w:themeColor="text1"/>
          <w:kern w:val="32"/>
          <w:szCs w:val="36"/>
        </w:rPr>
      </w:pPr>
      <w:r w:rsidRPr="00065D08">
        <w:rPr>
          <w:rFonts w:hAnsi="Arial" w:hint="eastAsia"/>
          <w:bCs/>
          <w:color w:val="000000" w:themeColor="text1"/>
          <w:kern w:val="32"/>
          <w:szCs w:val="36"/>
        </w:rPr>
        <w:t>依法務部「地方法院檢察署檢察事務官事務分配要點」第4點規定，雖就部分事務明確規範僅得由檢察官親自偵辦執行</w:t>
      </w:r>
      <w:r w:rsidRPr="00065D08">
        <w:rPr>
          <w:rFonts w:hAnsi="Arial"/>
          <w:bCs/>
          <w:color w:val="000000" w:themeColor="text1"/>
          <w:kern w:val="32"/>
          <w:szCs w:val="36"/>
          <w:vertAlign w:val="superscript"/>
        </w:rPr>
        <w:footnoteReference w:id="1"/>
      </w:r>
      <w:r w:rsidRPr="00065D08">
        <w:rPr>
          <w:rFonts w:hAnsi="Arial" w:hint="eastAsia"/>
          <w:bCs/>
          <w:color w:val="000000" w:themeColor="text1"/>
          <w:kern w:val="32"/>
          <w:szCs w:val="36"/>
        </w:rPr>
        <w:t>，然</w:t>
      </w:r>
      <w:r w:rsidR="00DF69F2" w:rsidRPr="00065D08">
        <w:rPr>
          <w:rFonts w:hAnsi="Arial" w:hint="eastAsia"/>
          <w:bCs/>
          <w:color w:val="000000" w:themeColor="text1"/>
          <w:kern w:val="32"/>
          <w:szCs w:val="36"/>
        </w:rPr>
        <w:t>本院綜</w:t>
      </w:r>
      <w:r w:rsidRPr="00065D08">
        <w:rPr>
          <w:rFonts w:hAnsi="Arial" w:hint="eastAsia"/>
          <w:bCs/>
          <w:color w:val="000000" w:themeColor="text1"/>
          <w:kern w:val="32"/>
          <w:szCs w:val="36"/>
        </w:rPr>
        <w:t>合檢視各地檢署實際運用情形可知，檢察事務官辦理非專案、公訴之一般案件源流有二：其一為檢察官交辦案件，由該檢</w:t>
      </w:r>
      <w:r w:rsidRPr="00065D08">
        <w:rPr>
          <w:rFonts w:hAnsi="Arial" w:hint="eastAsia"/>
          <w:bCs/>
          <w:color w:val="000000" w:themeColor="text1"/>
          <w:kern w:val="32"/>
          <w:szCs w:val="36"/>
        </w:rPr>
        <w:lastRenderedPageBreak/>
        <w:t>察官指揮；其二為例行性事務(該點第5款)、毒偵及速偵案件(該點第1款第2目)，得直接交由檢察事務官辦理，並受主任或專股檢察官指揮。另依同要點第5點第1款第3目規定，檢察事務官室就檢察官交辦事項及檢察事務官承辦第4點第5款之例行性業務，以收案順序由檢察事務官輪分之。</w:t>
      </w:r>
    </w:p>
    <w:p w:rsidR="00E46702" w:rsidRPr="00065D08" w:rsidRDefault="00E46702" w:rsidP="00E46702">
      <w:pPr>
        <w:numPr>
          <w:ilvl w:val="2"/>
          <w:numId w:val="26"/>
        </w:numPr>
        <w:outlineLvl w:val="2"/>
        <w:rPr>
          <w:rFonts w:hAnsi="Arial"/>
          <w:bCs/>
          <w:color w:val="000000" w:themeColor="text1"/>
          <w:kern w:val="32"/>
          <w:szCs w:val="36"/>
        </w:rPr>
      </w:pPr>
      <w:r w:rsidRPr="00065D08">
        <w:rPr>
          <w:rFonts w:hAnsi="Arial" w:hint="eastAsia"/>
          <w:bCs/>
          <w:color w:val="000000" w:themeColor="text1"/>
          <w:kern w:val="32"/>
          <w:szCs w:val="36"/>
        </w:rPr>
        <w:t>有關檢察官交辦案件，實務上係要求檢察事務官製作並繳交「卷證分析報告」，惟此「卷證分析報告」除標題與檢察書類相異外，其內容幾與檢察書類相同，換言之，檢察官於收受「卷證分析報告」後，修改標題即可輕易製成檢察書類。關此檢察事務官製作「卷證分析報告」得否以檢察書類稿為內容時，法務部</w:t>
      </w:r>
      <w:r w:rsidR="00AF72A3" w:rsidRPr="00065D08">
        <w:rPr>
          <w:rFonts w:hAnsi="Arial" w:hint="eastAsia"/>
          <w:bCs/>
          <w:color w:val="000000" w:themeColor="text1"/>
          <w:kern w:val="32"/>
          <w:szCs w:val="36"/>
        </w:rPr>
        <w:t>函</w:t>
      </w:r>
      <w:r w:rsidR="00483ACE" w:rsidRPr="00065D08">
        <w:rPr>
          <w:rStyle w:val="afc"/>
          <w:rFonts w:hAnsi="Arial"/>
          <w:bCs/>
          <w:color w:val="000000" w:themeColor="text1"/>
          <w:kern w:val="32"/>
          <w:szCs w:val="36"/>
        </w:rPr>
        <w:footnoteReference w:id="2"/>
      </w:r>
      <w:r w:rsidR="00DF69F2" w:rsidRPr="00065D08">
        <w:rPr>
          <w:rFonts w:hAnsi="Arial" w:hint="eastAsia"/>
          <w:bCs/>
          <w:color w:val="000000" w:themeColor="text1"/>
          <w:kern w:val="32"/>
          <w:szCs w:val="36"/>
        </w:rPr>
        <w:t>復</w:t>
      </w:r>
      <w:r w:rsidRPr="00065D08">
        <w:rPr>
          <w:rFonts w:hAnsi="Arial" w:hint="eastAsia"/>
          <w:bCs/>
          <w:color w:val="000000" w:themeColor="text1"/>
          <w:kern w:val="32"/>
          <w:szCs w:val="36"/>
        </w:rPr>
        <w:t>本院表示</w:t>
      </w:r>
      <w:r w:rsidR="00DF69F2" w:rsidRPr="00065D08">
        <w:rPr>
          <w:rFonts w:hAnsi="Arial" w:hint="eastAsia"/>
          <w:bCs/>
          <w:color w:val="000000" w:themeColor="text1"/>
          <w:kern w:val="32"/>
          <w:szCs w:val="36"/>
        </w:rPr>
        <w:t>：「</w:t>
      </w:r>
      <w:r w:rsidRPr="00065D08">
        <w:rPr>
          <w:rFonts w:hAnsi="Arial" w:hint="eastAsia"/>
          <w:bCs/>
          <w:color w:val="000000" w:themeColor="text1"/>
          <w:kern w:val="32"/>
          <w:szCs w:val="36"/>
        </w:rPr>
        <w:t>若檢察官指揮檢察事務官以起訴書、聲請簡易判決處刑書、緩起訴處分書、不起訴處分書或他字案簽結公文等結案書類格式擬具</w:t>
      </w:r>
      <w:r w:rsidR="00AF72A3" w:rsidRPr="00065D08">
        <w:rPr>
          <w:rFonts w:hAnsi="Arial" w:hint="eastAsia"/>
          <w:bCs/>
          <w:color w:val="000000" w:themeColor="text1"/>
          <w:kern w:val="32"/>
          <w:szCs w:val="36"/>
        </w:rPr>
        <w:t>『</w:t>
      </w:r>
      <w:r w:rsidRPr="00065D08">
        <w:rPr>
          <w:rFonts w:hAnsi="Arial" w:hint="eastAsia"/>
          <w:bCs/>
          <w:color w:val="000000" w:themeColor="text1"/>
          <w:kern w:val="32"/>
          <w:szCs w:val="36"/>
        </w:rPr>
        <w:t>卷證分析報告</w:t>
      </w:r>
      <w:r w:rsidR="00AF72A3" w:rsidRPr="00065D08">
        <w:rPr>
          <w:rFonts w:hAnsi="Arial" w:hint="eastAsia"/>
          <w:bCs/>
          <w:color w:val="000000" w:themeColor="text1"/>
          <w:kern w:val="32"/>
          <w:szCs w:val="36"/>
        </w:rPr>
        <w:t>』</w:t>
      </w:r>
      <w:r w:rsidRPr="00065D08">
        <w:rPr>
          <w:rFonts w:hAnsi="Arial" w:hint="eastAsia"/>
          <w:bCs/>
          <w:color w:val="000000" w:themeColor="text1"/>
          <w:kern w:val="32"/>
          <w:szCs w:val="36"/>
        </w:rPr>
        <w:t>，亦與上</w:t>
      </w:r>
      <w:r w:rsidR="00D44777" w:rsidRPr="00065D08">
        <w:rPr>
          <w:rFonts w:hAnsi="Arial" w:hint="eastAsia"/>
          <w:bCs/>
          <w:color w:val="000000" w:themeColor="text1"/>
          <w:kern w:val="32"/>
          <w:szCs w:val="36"/>
        </w:rPr>
        <w:t>開</w:t>
      </w:r>
      <w:r w:rsidRPr="00065D08">
        <w:rPr>
          <w:rFonts w:hAnsi="Arial" w:hint="eastAsia"/>
          <w:bCs/>
          <w:color w:val="000000" w:themeColor="text1"/>
          <w:kern w:val="32"/>
          <w:szCs w:val="36"/>
        </w:rPr>
        <w:t>要點無違</w:t>
      </w:r>
      <w:r w:rsidR="00DF69F2" w:rsidRPr="00065D08">
        <w:rPr>
          <w:rFonts w:hAnsi="Arial" w:hint="eastAsia"/>
          <w:bCs/>
          <w:color w:val="000000" w:themeColor="text1"/>
          <w:kern w:val="32"/>
          <w:szCs w:val="36"/>
        </w:rPr>
        <w:t>。」</w:t>
      </w:r>
      <w:r w:rsidRPr="00065D08">
        <w:rPr>
          <w:rFonts w:hAnsi="Arial" w:hint="eastAsia"/>
          <w:bCs/>
          <w:color w:val="000000" w:themeColor="text1"/>
          <w:kern w:val="32"/>
          <w:szCs w:val="36"/>
        </w:rPr>
        <w:t>顯見法務部亦容</w:t>
      </w:r>
      <w:r w:rsidR="00B66E1D" w:rsidRPr="00065D08">
        <w:rPr>
          <w:rFonts w:hAnsi="Arial" w:hint="eastAsia"/>
          <w:bCs/>
          <w:color w:val="000000" w:themeColor="text1"/>
          <w:kern w:val="32"/>
          <w:szCs w:val="36"/>
        </w:rPr>
        <w:t>任</w:t>
      </w:r>
      <w:r w:rsidRPr="00065D08">
        <w:rPr>
          <w:rFonts w:hAnsi="Arial" w:hint="eastAsia"/>
          <w:bCs/>
          <w:color w:val="000000" w:themeColor="text1"/>
          <w:kern w:val="32"/>
          <w:szCs w:val="36"/>
        </w:rPr>
        <w:t>此種作法存在。</w:t>
      </w:r>
    </w:p>
    <w:p w:rsidR="00E46702" w:rsidRPr="00065D08" w:rsidRDefault="00E46702" w:rsidP="00E46702">
      <w:pPr>
        <w:numPr>
          <w:ilvl w:val="2"/>
          <w:numId w:val="26"/>
        </w:numPr>
        <w:outlineLvl w:val="2"/>
        <w:rPr>
          <w:rFonts w:hAnsi="Arial"/>
          <w:bCs/>
          <w:color w:val="000000" w:themeColor="text1"/>
          <w:kern w:val="32"/>
          <w:szCs w:val="36"/>
        </w:rPr>
      </w:pPr>
      <w:r w:rsidRPr="00065D08">
        <w:rPr>
          <w:rFonts w:hAnsi="Arial" w:hint="eastAsia"/>
          <w:bCs/>
          <w:color w:val="000000" w:themeColor="text1"/>
          <w:kern w:val="32"/>
          <w:szCs w:val="36"/>
        </w:rPr>
        <w:t>而所謂「例行性事務」，法務部函</w:t>
      </w:r>
      <w:r w:rsidR="00F456EB" w:rsidRPr="00065D08">
        <w:rPr>
          <w:rStyle w:val="afc"/>
          <w:rFonts w:hAnsi="Arial"/>
          <w:bCs/>
          <w:color w:val="000000" w:themeColor="text1"/>
          <w:kern w:val="32"/>
          <w:szCs w:val="36"/>
        </w:rPr>
        <w:footnoteReference w:id="3"/>
      </w:r>
      <w:r w:rsidRPr="00065D08">
        <w:rPr>
          <w:rFonts w:hAnsi="Arial" w:hint="eastAsia"/>
          <w:bCs/>
          <w:color w:val="000000" w:themeColor="text1"/>
          <w:kern w:val="32"/>
          <w:szCs w:val="36"/>
        </w:rPr>
        <w:t>復表示係授權各地檢署依轄區之社會環境、政經治安狀況、犯罪類型、事務繁重程度之不同決定其內涵，並採因地制宜之方式運用檢察事務官。綜觀各地檢署所規定內容可知，其態樣繁多，不一而足，除包含犯罪被害補償案件初審、毒品資料庫之建立、緩起訴處分金與認罪協商判決金補助地方自治團體及公益團體之帳務查核等許多非屬偵查職務之行政事項，可</w:t>
      </w:r>
      <w:r w:rsidR="00ED768A" w:rsidRPr="00065D08">
        <w:rPr>
          <w:rFonts w:hAnsi="Arial" w:hint="eastAsia"/>
          <w:bCs/>
          <w:color w:val="000000" w:themeColor="text1"/>
          <w:kern w:val="32"/>
          <w:szCs w:val="36"/>
        </w:rPr>
        <w:t>交與</w:t>
      </w:r>
      <w:r w:rsidRPr="00065D08">
        <w:rPr>
          <w:rFonts w:hAnsi="Arial" w:hint="eastAsia"/>
          <w:bCs/>
          <w:color w:val="000000" w:themeColor="text1"/>
          <w:kern w:val="32"/>
          <w:szCs w:val="36"/>
        </w:rPr>
        <w:t>檢察事務官處理外，就屬法定刑低、數量較多之「質輕量多」刑事案件，亦可歸類為例行性案件，</w:t>
      </w:r>
      <w:r w:rsidR="00ED768A" w:rsidRPr="00065D08">
        <w:rPr>
          <w:rFonts w:hAnsi="Arial" w:hint="eastAsia"/>
          <w:bCs/>
          <w:color w:val="000000" w:themeColor="text1"/>
          <w:kern w:val="32"/>
          <w:szCs w:val="36"/>
        </w:rPr>
        <w:t>交與</w:t>
      </w:r>
      <w:r w:rsidRPr="00065D08">
        <w:rPr>
          <w:rFonts w:hAnsi="Arial" w:hint="eastAsia"/>
          <w:bCs/>
          <w:color w:val="000000" w:themeColor="text1"/>
          <w:kern w:val="32"/>
          <w:szCs w:val="36"/>
        </w:rPr>
        <w:t>檢察事務官辦理。依法務部查復，將各地方法</w:t>
      </w:r>
      <w:r w:rsidRPr="00065D08">
        <w:rPr>
          <w:rFonts w:hAnsi="Arial" w:hint="eastAsia"/>
          <w:bCs/>
          <w:color w:val="000000" w:themeColor="text1"/>
          <w:kern w:val="32"/>
          <w:szCs w:val="36"/>
        </w:rPr>
        <w:lastRenderedPageBreak/>
        <w:t>院檢察署界定之例行性事務，表列如下：</w:t>
      </w:r>
    </w:p>
    <w:p w:rsidR="00E46702" w:rsidRPr="00065D08" w:rsidRDefault="00E46702" w:rsidP="00E46702">
      <w:pPr>
        <w:keepNext/>
        <w:numPr>
          <w:ilvl w:val="0"/>
          <w:numId w:val="22"/>
        </w:numPr>
        <w:kinsoku w:val="0"/>
        <w:adjustRightInd w:val="0"/>
        <w:snapToGrid w:val="0"/>
        <w:spacing w:before="240" w:after="40" w:line="360" w:lineRule="exact"/>
        <w:jc w:val="center"/>
        <w:textAlignment w:val="baseline"/>
        <w:rPr>
          <w:rFonts w:hAnsi="華康楷書體W5(P)"/>
          <w:b/>
          <w:bCs/>
          <w:color w:val="000000" w:themeColor="text1"/>
          <w:spacing w:val="-10"/>
          <w:kern w:val="28"/>
          <w:sz w:val="28"/>
          <w:szCs w:val="28"/>
        </w:rPr>
      </w:pPr>
      <w:r w:rsidRPr="00065D08">
        <w:rPr>
          <w:rFonts w:hAnsi="華康楷書體W5(P)" w:hint="eastAsia"/>
          <w:b/>
          <w:bCs/>
          <w:color w:val="000000" w:themeColor="text1"/>
          <w:spacing w:val="-10"/>
          <w:kern w:val="28"/>
          <w:sz w:val="28"/>
          <w:szCs w:val="28"/>
        </w:rPr>
        <w:t>各地檢署「例行性事務」類型之案件</w:t>
      </w:r>
    </w:p>
    <w:tbl>
      <w:tblPr>
        <w:tblStyle w:val="13"/>
        <w:tblW w:w="5000" w:type="pct"/>
        <w:tblLook w:val="04A0" w:firstRow="1" w:lastRow="0" w:firstColumn="1" w:lastColumn="0" w:noHBand="0" w:noVBand="1"/>
      </w:tblPr>
      <w:tblGrid>
        <w:gridCol w:w="1276"/>
        <w:gridCol w:w="7784"/>
      </w:tblGrid>
      <w:tr w:rsidR="00065D08" w:rsidRPr="00065D08" w:rsidTr="003D16ED">
        <w:trPr>
          <w:tblHeader/>
        </w:trPr>
        <w:tc>
          <w:tcPr>
            <w:tcW w:w="704" w:type="pct"/>
            <w:shd w:val="clear" w:color="auto" w:fill="F2DBDB" w:themeFill="accent2" w:themeFillTint="33"/>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機關名稱</w:t>
            </w:r>
          </w:p>
        </w:tc>
        <w:tc>
          <w:tcPr>
            <w:tcW w:w="4296" w:type="pct"/>
            <w:shd w:val="clear" w:color="auto" w:fill="F2DBDB" w:themeFill="accent2" w:themeFillTint="33"/>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說明</w:t>
            </w:r>
          </w:p>
        </w:tc>
      </w:tr>
      <w:tr w:rsidR="00065D08" w:rsidRPr="00065D08" w:rsidTr="003D16ED">
        <w:tc>
          <w:tcPr>
            <w:tcW w:w="704"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臺灣臺北地方法院檢察署</w:t>
            </w:r>
          </w:p>
        </w:tc>
        <w:tc>
          <w:tcPr>
            <w:tcW w:w="4296"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經檢視前述該署訂定之「臺灣臺北地方法院檢察署檢察事務官分案報結輪值輪調暨考核要點」，</w:t>
            </w:r>
            <w:r w:rsidRPr="00065D08">
              <w:rPr>
                <w:rFonts w:hAnsi="標楷體" w:hint="eastAsia"/>
                <w:b/>
                <w:color w:val="000000" w:themeColor="text1"/>
                <w:sz w:val="24"/>
                <w:szCs w:val="24"/>
                <w:u w:val="single"/>
              </w:rPr>
              <w:t>該署並未就「地方法院檢察署檢察事務官事務分配要點」第4點第5款之「例行性事務」為規範</w:t>
            </w:r>
            <w:r w:rsidRPr="00065D08">
              <w:rPr>
                <w:rFonts w:hAnsi="標楷體" w:hint="eastAsia"/>
                <w:b/>
                <w:color w:val="000000" w:themeColor="text1"/>
                <w:sz w:val="24"/>
                <w:szCs w:val="24"/>
              </w:rPr>
              <w:t>；</w:t>
            </w:r>
            <w:r w:rsidRPr="00065D08">
              <w:rPr>
                <w:rFonts w:hAnsi="標楷體" w:hint="eastAsia"/>
                <w:color w:val="000000" w:themeColor="text1"/>
                <w:sz w:val="24"/>
                <w:szCs w:val="24"/>
              </w:rPr>
              <w:t>且該署不採取「分流制」，已如前述，就實際分案運作而言，除「補審」、「求償」字（即依「地方法院檢察署檢察事務官事務分配要點」第4點第5款第3目所定犯罪被害人保護法相關案件）及「調參」字等案件，由兼辦主任檢察事務官之樂股主任檢察官直接督導檢察事務官辦理外，並無未透過檢察官交辦、直接分由檢察事務官之「例行性事務」。</w:t>
            </w:r>
          </w:p>
        </w:tc>
      </w:tr>
      <w:tr w:rsidR="00065D08" w:rsidRPr="00065D08" w:rsidTr="003D16ED">
        <w:tc>
          <w:tcPr>
            <w:tcW w:w="704"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臺灣士林地方法院檢察署</w:t>
            </w:r>
          </w:p>
        </w:tc>
        <w:tc>
          <w:tcPr>
            <w:tcW w:w="4296"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該署檢察事務官之</w:t>
            </w:r>
            <w:r w:rsidRPr="00065D08">
              <w:rPr>
                <w:rFonts w:hAnsi="標楷體" w:hint="eastAsia"/>
                <w:b/>
                <w:color w:val="000000" w:themeColor="text1"/>
                <w:sz w:val="24"/>
                <w:szCs w:val="24"/>
                <w:u w:val="single"/>
              </w:rPr>
              <w:t>例行性事務，就過失傷害、竊盜(不含竊盜集團)之兩類簡易案件，交由各檢察事務官輪分辦理，並向所屬主任檢察官報告。</w:t>
            </w:r>
            <w:r w:rsidRPr="00065D08">
              <w:rPr>
                <w:rFonts w:hAnsi="標楷體" w:hint="eastAsia"/>
                <w:color w:val="000000" w:themeColor="text1"/>
                <w:sz w:val="24"/>
                <w:szCs w:val="24"/>
              </w:rPr>
              <w:t>其他案件均由各股檢察官依案件需求指揮檢察事務官辦理勘驗、初詢、卷證分析等工作。</w:t>
            </w:r>
          </w:p>
        </w:tc>
      </w:tr>
      <w:tr w:rsidR="00065D08" w:rsidRPr="00065D08" w:rsidTr="003D16ED">
        <w:tc>
          <w:tcPr>
            <w:tcW w:w="704"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臺灣新北地方法院檢察署</w:t>
            </w:r>
          </w:p>
        </w:tc>
        <w:tc>
          <w:tcPr>
            <w:tcW w:w="4296"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該署檢察事務官例行性事務（非屬偵辦刑事實體案件類型之業務）：</w:t>
            </w:r>
          </w:p>
          <w:p w:rsidR="00E46702" w:rsidRPr="00065D08" w:rsidRDefault="00E46702" w:rsidP="00E46702">
            <w:pPr>
              <w:numPr>
                <w:ilvl w:val="0"/>
                <w:numId w:val="36"/>
              </w:numPr>
              <w:tabs>
                <w:tab w:val="left" w:pos="525"/>
                <w:tab w:val="left" w:pos="601"/>
              </w:tabs>
              <w:rPr>
                <w:rFonts w:hAnsi="標楷體"/>
                <w:color w:val="000000" w:themeColor="text1"/>
                <w:sz w:val="24"/>
                <w:szCs w:val="24"/>
              </w:rPr>
            </w:pPr>
            <w:r w:rsidRPr="00065D08">
              <w:rPr>
                <w:rFonts w:hAnsi="標楷體" w:hint="eastAsia"/>
                <w:color w:val="000000" w:themeColor="text1"/>
                <w:sz w:val="24"/>
                <w:szCs w:val="24"/>
              </w:rPr>
              <w:t>檢察官指派檢察事務官至司法警察機關</w:t>
            </w:r>
            <w:r w:rsidRPr="00065D08">
              <w:rPr>
                <w:rFonts w:hAnsi="標楷體" w:hint="eastAsia"/>
                <w:b/>
                <w:color w:val="000000" w:themeColor="text1"/>
                <w:sz w:val="24"/>
                <w:szCs w:val="24"/>
                <w:u w:val="single"/>
              </w:rPr>
              <w:t>銷燬通訊監察監錄光碟</w:t>
            </w:r>
            <w:r w:rsidRPr="00065D08">
              <w:rPr>
                <w:rFonts w:hAnsi="標楷體" w:hint="eastAsia"/>
                <w:color w:val="000000" w:themeColor="text1"/>
                <w:sz w:val="24"/>
                <w:szCs w:val="24"/>
              </w:rPr>
              <w:t>（依據通訊保障及監察法第17條規定）。</w:t>
            </w:r>
          </w:p>
          <w:p w:rsidR="00E46702" w:rsidRPr="00065D08" w:rsidRDefault="00E46702" w:rsidP="00E46702">
            <w:pPr>
              <w:numPr>
                <w:ilvl w:val="0"/>
                <w:numId w:val="36"/>
              </w:numPr>
              <w:tabs>
                <w:tab w:val="left" w:pos="525"/>
                <w:tab w:val="left" w:pos="601"/>
              </w:tabs>
              <w:rPr>
                <w:rFonts w:hAnsi="標楷體"/>
                <w:color w:val="000000" w:themeColor="text1"/>
                <w:sz w:val="24"/>
                <w:szCs w:val="24"/>
              </w:rPr>
            </w:pPr>
            <w:r w:rsidRPr="00065D08">
              <w:rPr>
                <w:rFonts w:hAnsi="標楷體" w:hint="eastAsia"/>
                <w:color w:val="000000" w:themeColor="text1"/>
                <w:sz w:val="24"/>
                <w:szCs w:val="24"/>
              </w:rPr>
              <w:t>指派檢察事務官</w:t>
            </w:r>
            <w:r w:rsidRPr="00065D08">
              <w:rPr>
                <w:rFonts w:hAnsi="標楷體" w:hint="eastAsia"/>
                <w:b/>
                <w:color w:val="000000" w:themeColor="text1"/>
                <w:sz w:val="24"/>
                <w:szCs w:val="24"/>
                <w:u w:val="single"/>
              </w:rPr>
              <w:t>監看職棒業務</w:t>
            </w:r>
            <w:r w:rsidRPr="00065D08">
              <w:rPr>
                <w:rFonts w:hAnsi="標楷體" w:hint="eastAsia"/>
                <w:color w:val="000000" w:themeColor="text1"/>
                <w:sz w:val="24"/>
                <w:szCs w:val="24"/>
              </w:rPr>
              <w:t>。</w:t>
            </w:r>
          </w:p>
          <w:p w:rsidR="00E46702" w:rsidRPr="00065D08" w:rsidRDefault="00E46702" w:rsidP="00E46702">
            <w:pPr>
              <w:numPr>
                <w:ilvl w:val="0"/>
                <w:numId w:val="36"/>
              </w:numPr>
              <w:tabs>
                <w:tab w:val="left" w:pos="525"/>
                <w:tab w:val="left" w:pos="601"/>
              </w:tabs>
              <w:rPr>
                <w:rFonts w:hAnsi="標楷體"/>
                <w:color w:val="000000" w:themeColor="text1"/>
                <w:sz w:val="24"/>
                <w:szCs w:val="24"/>
              </w:rPr>
            </w:pPr>
            <w:r w:rsidRPr="00065D08">
              <w:rPr>
                <w:rFonts w:hAnsi="標楷體" w:hint="eastAsia"/>
                <w:b/>
                <w:color w:val="000000" w:themeColor="text1"/>
                <w:sz w:val="24"/>
                <w:szCs w:val="24"/>
                <w:u w:val="single"/>
              </w:rPr>
              <w:t>毒品獎金</w:t>
            </w:r>
            <w:r w:rsidRPr="00065D08">
              <w:rPr>
                <w:rFonts w:hAnsi="標楷體" w:hint="eastAsia"/>
                <w:color w:val="000000" w:themeColor="text1"/>
                <w:sz w:val="24"/>
                <w:szCs w:val="24"/>
              </w:rPr>
              <w:t>審查、核發業務。</w:t>
            </w:r>
          </w:p>
          <w:p w:rsidR="00E46702" w:rsidRPr="00065D08" w:rsidRDefault="00E46702" w:rsidP="00E46702">
            <w:pPr>
              <w:numPr>
                <w:ilvl w:val="0"/>
                <w:numId w:val="36"/>
              </w:numPr>
              <w:tabs>
                <w:tab w:val="left" w:pos="525"/>
                <w:tab w:val="left" w:pos="601"/>
              </w:tabs>
              <w:rPr>
                <w:rFonts w:hAnsi="標楷體"/>
                <w:color w:val="000000" w:themeColor="text1"/>
                <w:sz w:val="24"/>
                <w:szCs w:val="24"/>
              </w:rPr>
            </w:pPr>
            <w:r w:rsidRPr="00065D08">
              <w:rPr>
                <w:rFonts w:hAnsi="標楷體" w:hint="eastAsia"/>
                <w:b/>
                <w:color w:val="000000" w:themeColor="text1"/>
                <w:sz w:val="24"/>
                <w:szCs w:val="24"/>
                <w:u w:val="single"/>
              </w:rPr>
              <w:t>緩起訴處分金</w:t>
            </w:r>
            <w:r w:rsidRPr="00065D08">
              <w:rPr>
                <w:rFonts w:hAnsi="標楷體" w:hint="eastAsia"/>
                <w:color w:val="000000" w:themeColor="text1"/>
                <w:sz w:val="24"/>
                <w:szCs w:val="24"/>
              </w:rPr>
              <w:t>審查業務。</w:t>
            </w:r>
          </w:p>
          <w:p w:rsidR="00E46702" w:rsidRPr="00065D08" w:rsidRDefault="00E46702" w:rsidP="00E46702">
            <w:pPr>
              <w:numPr>
                <w:ilvl w:val="0"/>
                <w:numId w:val="36"/>
              </w:numPr>
              <w:tabs>
                <w:tab w:val="left" w:pos="525"/>
                <w:tab w:val="left" w:pos="601"/>
              </w:tabs>
              <w:rPr>
                <w:rFonts w:hAnsi="標楷體"/>
                <w:color w:val="000000" w:themeColor="text1"/>
                <w:sz w:val="24"/>
                <w:szCs w:val="24"/>
              </w:rPr>
            </w:pPr>
            <w:r w:rsidRPr="00065D08">
              <w:rPr>
                <w:rFonts w:hAnsi="標楷體" w:hint="eastAsia"/>
                <w:color w:val="000000" w:themeColor="text1"/>
                <w:sz w:val="24"/>
                <w:szCs w:val="24"/>
              </w:rPr>
              <w:t>指派檢察事務官進行</w:t>
            </w:r>
            <w:r w:rsidRPr="00065D08">
              <w:rPr>
                <w:rFonts w:hAnsi="標楷體" w:hint="eastAsia"/>
                <w:b/>
                <w:color w:val="000000" w:themeColor="text1"/>
                <w:sz w:val="24"/>
                <w:szCs w:val="24"/>
                <w:u w:val="single"/>
              </w:rPr>
              <w:t>法令宣導業務</w:t>
            </w:r>
            <w:r w:rsidRPr="00065D08">
              <w:rPr>
                <w:rFonts w:hAnsi="標楷體" w:hint="eastAsia"/>
                <w:color w:val="000000" w:themeColor="text1"/>
                <w:sz w:val="24"/>
                <w:szCs w:val="24"/>
              </w:rPr>
              <w:t>。</w:t>
            </w:r>
          </w:p>
        </w:tc>
      </w:tr>
      <w:tr w:rsidR="00065D08" w:rsidRPr="00065D08" w:rsidTr="003D16ED">
        <w:tc>
          <w:tcPr>
            <w:tcW w:w="704"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臺灣桃園地方法院檢察署</w:t>
            </w:r>
          </w:p>
        </w:tc>
        <w:tc>
          <w:tcPr>
            <w:tcW w:w="4296"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一、該署檢察事務官因業務需要分為四大組，各組例行性事務如下：</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（一）一般偵查組，承辦案件來源主要有三：</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 xml:space="preserve">   1、全署</w:t>
            </w:r>
            <w:r w:rsidRPr="00065D08">
              <w:rPr>
                <w:rFonts w:hAnsi="標楷體" w:hint="eastAsia"/>
                <w:b/>
                <w:color w:val="000000" w:themeColor="text1"/>
                <w:sz w:val="24"/>
                <w:szCs w:val="24"/>
                <w:u w:val="single"/>
              </w:rPr>
              <w:t>毒偵</w:t>
            </w:r>
            <w:r w:rsidRPr="00065D08">
              <w:rPr>
                <w:rFonts w:hAnsi="標楷體" w:hint="eastAsia"/>
                <w:color w:val="000000" w:themeColor="text1"/>
                <w:sz w:val="24"/>
                <w:szCs w:val="24"/>
              </w:rPr>
              <w:t>案件（施用毒品案件）。</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 xml:space="preserve">   2、全署</w:t>
            </w:r>
            <w:r w:rsidRPr="00065D08">
              <w:rPr>
                <w:rFonts w:hAnsi="標楷體" w:hint="eastAsia"/>
                <w:b/>
                <w:color w:val="000000" w:themeColor="text1"/>
                <w:sz w:val="24"/>
                <w:szCs w:val="24"/>
                <w:u w:val="single"/>
              </w:rPr>
              <w:t>速偵</w:t>
            </w:r>
            <w:r w:rsidRPr="00065D08">
              <w:rPr>
                <w:rFonts w:hAnsi="標楷體" w:hint="eastAsia"/>
                <w:color w:val="000000" w:themeColor="text1"/>
                <w:sz w:val="24"/>
                <w:szCs w:val="24"/>
              </w:rPr>
              <w:t>案件。</w:t>
            </w:r>
          </w:p>
          <w:p w:rsidR="00E46702" w:rsidRPr="00065D08" w:rsidRDefault="00E46702" w:rsidP="00E46702">
            <w:pPr>
              <w:ind w:left="650" w:hangingChars="250" w:hanging="650"/>
              <w:rPr>
                <w:rFonts w:hAnsi="標楷體"/>
                <w:color w:val="000000" w:themeColor="text1"/>
                <w:sz w:val="24"/>
                <w:szCs w:val="24"/>
              </w:rPr>
            </w:pPr>
            <w:r w:rsidRPr="00065D08">
              <w:rPr>
                <w:rFonts w:hAnsi="標楷體" w:hint="eastAsia"/>
                <w:color w:val="000000" w:themeColor="text1"/>
                <w:sz w:val="24"/>
                <w:szCs w:val="24"/>
              </w:rPr>
              <w:t xml:space="preserve">   3、</w:t>
            </w:r>
            <w:r w:rsidRPr="00065D08">
              <w:rPr>
                <w:rFonts w:hAnsi="標楷體" w:hint="eastAsia"/>
                <w:b/>
                <w:color w:val="000000" w:themeColor="text1"/>
                <w:sz w:val="24"/>
                <w:szCs w:val="24"/>
                <w:u w:val="single"/>
              </w:rPr>
              <w:t>檢察官交辦之案件</w:t>
            </w:r>
            <w:r w:rsidRPr="00065D08">
              <w:rPr>
                <w:rFonts w:hAnsi="標楷體" w:hint="eastAsia"/>
                <w:color w:val="000000" w:themeColor="text1"/>
                <w:sz w:val="24"/>
                <w:szCs w:val="24"/>
              </w:rPr>
              <w:t>(含每月交查或核交案件20件、調參暨聲沒等雜件)至上開第3點部分，該署並未就交辦案件之案由、案件類型及欲指揮進行事項有所規定，完全由各偵查股檢察官自主決定所欲交辦之案件型態。</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（二）補審求償專組</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 xml:space="preserve">   1、承辦全署</w:t>
            </w:r>
            <w:r w:rsidRPr="00065D08">
              <w:rPr>
                <w:rFonts w:hAnsi="標楷體" w:hint="eastAsia"/>
                <w:b/>
                <w:color w:val="000000" w:themeColor="text1"/>
                <w:sz w:val="24"/>
                <w:szCs w:val="24"/>
                <w:u w:val="single"/>
              </w:rPr>
              <w:t>補審、求償</w:t>
            </w:r>
            <w:r w:rsidRPr="00065D08">
              <w:rPr>
                <w:rFonts w:hAnsi="標楷體" w:hint="eastAsia"/>
                <w:color w:val="000000" w:themeColor="text1"/>
                <w:sz w:val="24"/>
                <w:szCs w:val="24"/>
              </w:rPr>
              <w:t>案件。</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 xml:space="preserve">   2、辦理</w:t>
            </w:r>
            <w:r w:rsidRPr="00065D08">
              <w:rPr>
                <w:rFonts w:hAnsi="標楷體" w:hint="eastAsia"/>
                <w:b/>
                <w:color w:val="000000" w:themeColor="text1"/>
                <w:sz w:val="24"/>
                <w:szCs w:val="24"/>
                <w:u w:val="single"/>
              </w:rPr>
              <w:t>當選無效訴訟</w:t>
            </w:r>
            <w:r w:rsidRPr="00065D08">
              <w:rPr>
                <w:rFonts w:hAnsi="標楷體" w:hint="eastAsia"/>
                <w:color w:val="000000" w:themeColor="text1"/>
                <w:sz w:val="24"/>
                <w:szCs w:val="24"/>
              </w:rPr>
              <w:t>案件。</w:t>
            </w:r>
          </w:p>
          <w:p w:rsidR="00E46702" w:rsidRPr="00065D08" w:rsidRDefault="00E46702" w:rsidP="00E46702">
            <w:pPr>
              <w:ind w:left="650" w:hangingChars="250" w:hanging="650"/>
              <w:rPr>
                <w:rFonts w:hAnsi="標楷體"/>
                <w:color w:val="000000" w:themeColor="text1"/>
                <w:sz w:val="24"/>
                <w:szCs w:val="24"/>
              </w:rPr>
            </w:pPr>
            <w:r w:rsidRPr="00065D08">
              <w:rPr>
                <w:rFonts w:hAnsi="標楷體" w:hint="eastAsia"/>
                <w:color w:val="000000" w:themeColor="text1"/>
                <w:sz w:val="24"/>
                <w:szCs w:val="24"/>
              </w:rPr>
              <w:t xml:space="preserve">   3、辦理</w:t>
            </w:r>
            <w:r w:rsidRPr="00065D08">
              <w:rPr>
                <w:rFonts w:hAnsi="標楷體" w:hint="eastAsia"/>
                <w:b/>
                <w:color w:val="000000" w:themeColor="text1"/>
                <w:sz w:val="24"/>
                <w:szCs w:val="24"/>
                <w:u w:val="single"/>
              </w:rPr>
              <w:t>「賠議」、「民參」</w:t>
            </w:r>
            <w:r w:rsidRPr="00065D08">
              <w:rPr>
                <w:rFonts w:hAnsi="標楷體" w:hint="eastAsia"/>
                <w:color w:val="000000" w:themeColor="text1"/>
                <w:sz w:val="24"/>
                <w:szCs w:val="24"/>
              </w:rPr>
              <w:t>等與該署相關之民事或行政訴訟案件。</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（三）毒品資料庫專組</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 xml:space="preserve">   1、辦理</w:t>
            </w:r>
            <w:r w:rsidRPr="00065D08">
              <w:rPr>
                <w:rFonts w:hAnsi="標楷體" w:hint="eastAsia"/>
                <w:b/>
                <w:color w:val="000000" w:themeColor="text1"/>
                <w:sz w:val="24"/>
                <w:szCs w:val="24"/>
                <w:u w:val="single"/>
              </w:rPr>
              <w:t>毒品資料分析作業</w:t>
            </w:r>
            <w:r w:rsidRPr="00065D08">
              <w:rPr>
                <w:rFonts w:hAnsi="標楷體" w:hint="eastAsia"/>
                <w:color w:val="000000" w:themeColor="text1"/>
                <w:sz w:val="24"/>
                <w:szCs w:val="24"/>
              </w:rPr>
              <w:t>。</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 xml:space="preserve">   2、</w:t>
            </w:r>
            <w:r w:rsidRPr="00065D08">
              <w:rPr>
                <w:rFonts w:hAnsi="標楷體" w:hint="eastAsia"/>
                <w:b/>
                <w:color w:val="000000" w:themeColor="text1"/>
                <w:sz w:val="24"/>
                <w:szCs w:val="24"/>
                <w:u w:val="single"/>
              </w:rPr>
              <w:t>專辦公訴</w:t>
            </w:r>
            <w:r w:rsidRPr="00065D08">
              <w:rPr>
                <w:rFonts w:hAnsi="標楷體" w:hint="eastAsia"/>
                <w:color w:val="000000" w:themeColor="text1"/>
                <w:sz w:val="24"/>
                <w:szCs w:val="24"/>
              </w:rPr>
              <w:t>案件。</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 xml:space="preserve"> (四)不法犯罪所得查扣小組</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 xml:space="preserve">   1、處理</w:t>
            </w:r>
            <w:r w:rsidRPr="00065D08">
              <w:rPr>
                <w:rFonts w:hAnsi="標楷體" w:hint="eastAsia"/>
                <w:b/>
                <w:color w:val="000000" w:themeColor="text1"/>
                <w:sz w:val="24"/>
                <w:szCs w:val="24"/>
                <w:u w:val="single"/>
              </w:rPr>
              <w:t>一般偵查組業務</w:t>
            </w:r>
            <w:r w:rsidRPr="00065D08">
              <w:rPr>
                <w:rFonts w:hAnsi="標楷體" w:hint="eastAsia"/>
                <w:color w:val="000000" w:themeColor="text1"/>
                <w:sz w:val="24"/>
                <w:szCs w:val="24"/>
              </w:rPr>
              <w:t>。</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 xml:space="preserve">   2、辦理</w:t>
            </w:r>
            <w:r w:rsidRPr="00065D08">
              <w:rPr>
                <w:rFonts w:hAnsi="標楷體" w:hint="eastAsia"/>
                <w:b/>
                <w:color w:val="000000" w:themeColor="text1"/>
                <w:sz w:val="24"/>
                <w:szCs w:val="24"/>
                <w:u w:val="single"/>
              </w:rPr>
              <w:t>不法犯罪所得查扣</w:t>
            </w:r>
            <w:r w:rsidRPr="00065D08">
              <w:rPr>
                <w:rFonts w:hAnsi="標楷體" w:hint="eastAsia"/>
                <w:color w:val="000000" w:themeColor="text1"/>
                <w:sz w:val="24"/>
                <w:szCs w:val="24"/>
              </w:rPr>
              <w:t>。</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二、偵查以外之例行性事務</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（一）受理</w:t>
            </w:r>
            <w:r w:rsidRPr="00065D08">
              <w:rPr>
                <w:rFonts w:hAnsi="標楷體" w:hint="eastAsia"/>
                <w:b/>
                <w:color w:val="000000" w:themeColor="text1"/>
                <w:sz w:val="24"/>
                <w:szCs w:val="24"/>
                <w:u w:val="single"/>
              </w:rPr>
              <w:t>一般案件申告</w:t>
            </w:r>
            <w:r w:rsidRPr="00065D08">
              <w:rPr>
                <w:rFonts w:hAnsi="標楷體" w:hint="eastAsia"/>
                <w:b/>
                <w:color w:val="000000" w:themeColor="text1"/>
                <w:sz w:val="24"/>
                <w:szCs w:val="24"/>
              </w:rPr>
              <w:t>。</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lastRenderedPageBreak/>
              <w:t>（二）</w:t>
            </w:r>
            <w:r w:rsidRPr="00065D08">
              <w:rPr>
                <w:rFonts w:hAnsi="標楷體" w:hint="eastAsia"/>
                <w:b/>
                <w:color w:val="000000" w:themeColor="text1"/>
                <w:sz w:val="24"/>
                <w:szCs w:val="24"/>
                <w:u w:val="single"/>
              </w:rPr>
              <w:t>依檢察官指揮</w:t>
            </w:r>
            <w:r w:rsidRPr="00065D08">
              <w:rPr>
                <w:rFonts w:hAnsi="標楷體" w:hint="eastAsia"/>
                <w:color w:val="000000" w:themeColor="text1"/>
                <w:sz w:val="24"/>
                <w:szCs w:val="24"/>
              </w:rPr>
              <w:t>為刑事訴訟法所規定之</w:t>
            </w:r>
            <w:r w:rsidRPr="00065D08">
              <w:rPr>
                <w:rFonts w:hAnsi="標楷體" w:hint="eastAsia"/>
                <w:b/>
                <w:color w:val="000000" w:themeColor="text1"/>
                <w:sz w:val="24"/>
                <w:szCs w:val="24"/>
                <w:u w:val="single"/>
              </w:rPr>
              <w:t>搜索、扣押、勘驗</w:t>
            </w:r>
            <w:r w:rsidRPr="00065D08">
              <w:rPr>
                <w:rFonts w:hAnsi="標楷體" w:hint="eastAsia"/>
                <w:color w:val="000000" w:themeColor="text1"/>
                <w:sz w:val="24"/>
                <w:szCs w:val="24"/>
              </w:rPr>
              <w:t>等強制處分。</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（三）輪值</w:t>
            </w:r>
            <w:r w:rsidRPr="00065D08">
              <w:rPr>
                <w:rFonts w:hAnsi="標楷體" w:hint="eastAsia"/>
                <w:b/>
                <w:color w:val="000000" w:themeColor="text1"/>
                <w:sz w:val="24"/>
                <w:szCs w:val="24"/>
                <w:u w:val="single"/>
              </w:rPr>
              <w:t>選舉分區查察聯繫中心勤務</w:t>
            </w:r>
            <w:r w:rsidRPr="00065D08">
              <w:rPr>
                <w:rFonts w:hAnsi="標楷體" w:hint="eastAsia"/>
                <w:color w:val="000000" w:themeColor="text1"/>
                <w:sz w:val="24"/>
                <w:szCs w:val="24"/>
              </w:rPr>
              <w:t>。</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（四）辦理</w:t>
            </w:r>
            <w:r w:rsidRPr="00065D08">
              <w:rPr>
                <w:rFonts w:hAnsi="標楷體" w:hint="eastAsia"/>
                <w:b/>
                <w:color w:val="000000" w:themeColor="text1"/>
                <w:sz w:val="24"/>
                <w:szCs w:val="24"/>
                <w:u w:val="single"/>
              </w:rPr>
              <w:t>毒品資料庫業務</w:t>
            </w:r>
            <w:r w:rsidRPr="00065D08">
              <w:rPr>
                <w:rFonts w:hAnsi="標楷體" w:hint="eastAsia"/>
                <w:color w:val="000000" w:themeColor="text1"/>
                <w:sz w:val="24"/>
                <w:szCs w:val="24"/>
              </w:rPr>
              <w:t>。</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（五）其他法令所定屬檢察官職權事項之襄助處理。</w:t>
            </w:r>
          </w:p>
        </w:tc>
      </w:tr>
      <w:tr w:rsidR="00065D08" w:rsidRPr="00065D08" w:rsidTr="003D16ED">
        <w:tc>
          <w:tcPr>
            <w:tcW w:w="704"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lastRenderedPageBreak/>
              <w:t>臺灣新竹地方法院檢察署</w:t>
            </w:r>
          </w:p>
        </w:tc>
        <w:tc>
          <w:tcPr>
            <w:tcW w:w="4296"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該署檢察官交辦檢察事務官運用原則如下：</w:t>
            </w:r>
          </w:p>
          <w:p w:rsidR="00E46702" w:rsidRPr="00065D08" w:rsidRDefault="00E46702" w:rsidP="00E46702">
            <w:pPr>
              <w:ind w:left="520" w:hangingChars="200" w:hanging="520"/>
              <w:rPr>
                <w:rFonts w:hAnsi="標楷體"/>
                <w:color w:val="000000" w:themeColor="text1"/>
                <w:sz w:val="24"/>
                <w:szCs w:val="24"/>
              </w:rPr>
            </w:pPr>
            <w:r w:rsidRPr="00065D08">
              <w:rPr>
                <w:rFonts w:hAnsi="標楷體" w:hint="eastAsia"/>
                <w:color w:val="000000" w:themeColor="text1"/>
                <w:sz w:val="24"/>
                <w:szCs w:val="24"/>
              </w:rPr>
              <w:t>一、檢察官就所有（含例行性案件）案件交辦檢察事務官襄辦，必需先詳閱卷證後填具「案件交辦進行單」，指示應進行事項，不得由分案室逕交檢察事務官辦理。每月每位檢察官除例行性案件外，僅可交辦案件5件予</w:t>
            </w:r>
            <w:r w:rsidRPr="00065D08">
              <w:rPr>
                <w:rFonts w:hint="eastAsia"/>
                <w:color w:val="000000" w:themeColor="text1"/>
                <w:sz w:val="24"/>
                <w:szCs w:val="24"/>
              </w:rPr>
              <w:t>檢察事務官</w:t>
            </w:r>
            <w:r w:rsidRPr="00065D08">
              <w:rPr>
                <w:rFonts w:hAnsi="標楷體" w:hint="eastAsia"/>
                <w:color w:val="000000" w:themeColor="text1"/>
                <w:sz w:val="24"/>
                <w:szCs w:val="24"/>
              </w:rPr>
              <w:t>襄辦。</w:t>
            </w:r>
          </w:p>
          <w:p w:rsidR="00E46702" w:rsidRPr="00065D08" w:rsidRDefault="00E46702" w:rsidP="00E46702">
            <w:pPr>
              <w:ind w:left="520" w:hangingChars="200" w:hanging="520"/>
              <w:rPr>
                <w:rFonts w:hAnsi="標楷體"/>
                <w:color w:val="000000" w:themeColor="text1"/>
                <w:sz w:val="24"/>
                <w:szCs w:val="24"/>
              </w:rPr>
            </w:pPr>
            <w:r w:rsidRPr="00065D08">
              <w:rPr>
                <w:rFonts w:hAnsi="標楷體" w:hint="eastAsia"/>
                <w:color w:val="000000" w:themeColor="text1"/>
                <w:sz w:val="24"/>
                <w:szCs w:val="24"/>
              </w:rPr>
              <w:t>二、依該署業務需求，將檢察事務官調整編為下列三組：</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 xml:space="preserve"> (一)專案組</w:t>
            </w:r>
          </w:p>
          <w:p w:rsidR="00E46702" w:rsidRPr="00065D08" w:rsidRDefault="00E46702" w:rsidP="00E46702">
            <w:pPr>
              <w:ind w:leftChars="188" w:left="946" w:hangingChars="118" w:hanging="307"/>
              <w:rPr>
                <w:rFonts w:hAnsi="標楷體"/>
                <w:color w:val="000000" w:themeColor="text1"/>
                <w:sz w:val="24"/>
                <w:szCs w:val="24"/>
              </w:rPr>
            </w:pPr>
            <w:r w:rsidRPr="00065D08">
              <w:rPr>
                <w:rFonts w:hAnsi="標楷體" w:hint="eastAsia"/>
                <w:color w:val="000000" w:themeColor="text1"/>
                <w:sz w:val="24"/>
                <w:szCs w:val="24"/>
              </w:rPr>
              <w:t>1、辦理檢察長或主任檢察官或資深檢察官所指定專案襄助檢察官辦理案情重大複雜之特定案件。</w:t>
            </w:r>
          </w:p>
          <w:p w:rsidR="00E46702" w:rsidRPr="00065D08" w:rsidRDefault="00E46702" w:rsidP="00E46702">
            <w:pPr>
              <w:ind w:leftChars="188" w:left="946" w:hangingChars="118" w:hanging="307"/>
              <w:rPr>
                <w:rFonts w:hAnsi="標楷體"/>
                <w:color w:val="000000" w:themeColor="text1"/>
                <w:sz w:val="24"/>
                <w:szCs w:val="24"/>
              </w:rPr>
            </w:pPr>
            <w:r w:rsidRPr="00065D08">
              <w:rPr>
                <w:rFonts w:hAnsi="標楷體" w:hint="eastAsia"/>
                <w:color w:val="000000" w:themeColor="text1"/>
                <w:sz w:val="24"/>
                <w:szCs w:val="24"/>
              </w:rPr>
              <w:t>2、檢察官就其承辦案件認有由檢察事務官專案襄助之必要者，亦得簽請檢察長或主任檢察官或資深檢察官指定檢察事務官襄助辦理。</w:t>
            </w:r>
          </w:p>
          <w:p w:rsidR="00E46702" w:rsidRPr="00065D08" w:rsidRDefault="00E46702" w:rsidP="00E46702">
            <w:pPr>
              <w:ind w:leftChars="188" w:left="946" w:hangingChars="118" w:hanging="307"/>
              <w:rPr>
                <w:rFonts w:hAnsi="標楷體"/>
                <w:color w:val="000000" w:themeColor="text1"/>
                <w:sz w:val="24"/>
                <w:szCs w:val="24"/>
              </w:rPr>
            </w:pPr>
            <w:r w:rsidRPr="00065D08">
              <w:rPr>
                <w:rFonts w:hAnsi="標楷體" w:hint="eastAsia"/>
                <w:color w:val="000000" w:themeColor="text1"/>
                <w:sz w:val="24"/>
                <w:szCs w:val="24"/>
              </w:rPr>
              <w:t>3、辦理該署施用毒品之毒偵案件及該署毒品資料庫之管理，並追緝上游販賣毒品者之情資收集。</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 xml:space="preserve"> (二)例行案件組</w:t>
            </w:r>
          </w:p>
          <w:p w:rsidR="00E46702" w:rsidRPr="00065D08" w:rsidRDefault="00E46702" w:rsidP="00E46702">
            <w:pPr>
              <w:ind w:leftChars="187" w:left="637" w:hanging="1"/>
              <w:rPr>
                <w:rFonts w:hAnsi="標楷體"/>
                <w:b/>
                <w:color w:val="000000" w:themeColor="text1"/>
                <w:sz w:val="24"/>
                <w:szCs w:val="24"/>
                <w:u w:val="single"/>
              </w:rPr>
            </w:pPr>
            <w:r w:rsidRPr="00065D08">
              <w:rPr>
                <w:rFonts w:hAnsi="標楷體" w:hint="eastAsia"/>
                <w:color w:val="000000" w:themeColor="text1"/>
                <w:sz w:val="24"/>
                <w:szCs w:val="24"/>
              </w:rPr>
              <w:t>依配屬檢察官指揮辦理</w:t>
            </w:r>
            <w:r w:rsidRPr="00065D08">
              <w:rPr>
                <w:rFonts w:hAnsi="標楷體" w:hint="eastAsia"/>
                <w:b/>
                <w:color w:val="000000" w:themeColor="text1"/>
                <w:sz w:val="24"/>
                <w:szCs w:val="24"/>
                <w:u w:val="single"/>
              </w:rPr>
              <w:t>一般例行性案件</w:t>
            </w:r>
            <w:r w:rsidRPr="00065D08">
              <w:rPr>
                <w:rFonts w:hAnsi="標楷體" w:hint="eastAsia"/>
                <w:color w:val="000000" w:themeColor="text1"/>
                <w:sz w:val="24"/>
                <w:szCs w:val="24"/>
              </w:rPr>
              <w:t>，即指</w:t>
            </w:r>
            <w:r w:rsidRPr="00065D08">
              <w:rPr>
                <w:rFonts w:hAnsi="標楷體" w:hint="eastAsia"/>
                <w:b/>
                <w:color w:val="000000" w:themeColor="text1"/>
                <w:sz w:val="24"/>
                <w:szCs w:val="24"/>
                <w:u w:val="single"/>
              </w:rPr>
              <w:t xml:space="preserve">竊盜、公共危險、賭博（含電子遊戲場業管理條例）、傷害（含過失傷害）、詐欺（指電話、簡訊、人頭帳戶詐欺、10萬元以下假性財產犯罪）、毀損、家庭暴力、妨害家庭及婚姻、妨害兵役、著作權法及商標法等共10類假性財產犯罪或案情簡易之案件。 </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 xml:space="preserve"> (三)補審求償組</w:t>
            </w:r>
          </w:p>
          <w:p w:rsidR="00E46702" w:rsidRPr="00065D08" w:rsidRDefault="00E46702" w:rsidP="00E46702">
            <w:pPr>
              <w:ind w:leftChars="187" w:left="637" w:hanging="1"/>
              <w:rPr>
                <w:rFonts w:hAnsi="標楷體"/>
                <w:color w:val="000000" w:themeColor="text1"/>
                <w:sz w:val="24"/>
                <w:szCs w:val="24"/>
              </w:rPr>
            </w:pPr>
            <w:r w:rsidRPr="00065D08">
              <w:rPr>
                <w:rFonts w:hAnsi="標楷體" w:hint="eastAsia"/>
                <w:color w:val="000000" w:themeColor="text1"/>
                <w:sz w:val="24"/>
                <w:szCs w:val="24"/>
              </w:rPr>
              <w:t>依主任檢察官之指揮，襄辦犯罪被害人補償、國家賠償、冤獄賠償、選舉無效訴訟、民事訴訟（如聲請失蹤、聲請死亡宣告等）案件，並承辦檢察事務官室單一窗口查詢業務。是以該署目前依法務部頒之「地方法院檢察署檢察事務官事務分配要點」第4點第5款之「例行性事務」，乃指交查案件、犯罪被害人保護法相關案件、施用毒品案件、假性財產犯罪案件、案情簡易之特定案件。</w:t>
            </w:r>
          </w:p>
        </w:tc>
      </w:tr>
      <w:tr w:rsidR="00065D08" w:rsidRPr="00065D08" w:rsidTr="003D16ED">
        <w:tc>
          <w:tcPr>
            <w:tcW w:w="704"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臺灣苗栗地方法院檢察署</w:t>
            </w:r>
          </w:p>
        </w:tc>
        <w:tc>
          <w:tcPr>
            <w:tcW w:w="4296"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該署依據「地方法院檢察署檢察事務官事務分配要點」第4點第5款將下列案件及事項歸類為「例行性事務」，交檢察事務官襄辦。</w:t>
            </w:r>
          </w:p>
          <w:p w:rsidR="00E46702" w:rsidRPr="00065D08" w:rsidRDefault="00E46702" w:rsidP="00E46702">
            <w:pPr>
              <w:ind w:left="520" w:hangingChars="200" w:hanging="520"/>
              <w:rPr>
                <w:rFonts w:hAnsi="標楷體"/>
                <w:color w:val="000000" w:themeColor="text1"/>
                <w:sz w:val="24"/>
                <w:szCs w:val="24"/>
              </w:rPr>
            </w:pPr>
            <w:r w:rsidRPr="00065D08">
              <w:rPr>
                <w:rFonts w:hAnsi="標楷體" w:hint="eastAsia"/>
                <w:color w:val="000000" w:themeColor="text1"/>
                <w:sz w:val="24"/>
                <w:szCs w:val="24"/>
              </w:rPr>
              <w:t>一、刑事簡易案件：該署由負責核退案件之檢察官，於審核核退案件時，簽註應分由檢察事務官辦理之</w:t>
            </w:r>
            <w:r w:rsidRPr="00065D08">
              <w:rPr>
                <w:rFonts w:hAnsi="標楷體" w:hint="eastAsia"/>
                <w:b/>
                <w:color w:val="000000" w:themeColor="text1"/>
                <w:sz w:val="24"/>
                <w:szCs w:val="24"/>
                <w:u w:val="single"/>
              </w:rPr>
              <w:t>例行性案件(如酒駕、兒少性交易防制條例、竊盜、妨害兵役、傷害、施用毒品、電子遊戲場業管理條例、假性財產犯罪案件</w:t>
            </w:r>
            <w:r w:rsidRPr="00065D08">
              <w:rPr>
                <w:rFonts w:hAnsi="標楷體" w:hint="eastAsia"/>
                <w:color w:val="000000" w:themeColor="text1"/>
                <w:sz w:val="24"/>
                <w:szCs w:val="24"/>
              </w:rPr>
              <w:t>等)，經負責之主任檢察官審核後，逕送分案交由檢察官事務官辦理，由檢察事務官於收案辦理，於完成結案擬作書類或卷證分析後，送檢察官審核，再陳請主任檢察官、檢察長核閱。每股檢察事務官之例行性案</w:t>
            </w:r>
            <w:r w:rsidRPr="00065D08">
              <w:rPr>
                <w:rFonts w:hAnsi="標楷體" w:hint="eastAsia"/>
                <w:color w:val="000000" w:themeColor="text1"/>
                <w:sz w:val="24"/>
                <w:szCs w:val="24"/>
              </w:rPr>
              <w:lastRenderedPageBreak/>
              <w:t>件，均係輪分而來，各股例行性案件業務平均。惟負責審核核退案件之檢察官及主任檢察官須注意檢察官、檢察事務官間之分案公平性，避免造成工作不均之情形。</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二、</w:t>
            </w:r>
            <w:r w:rsidRPr="00065D08">
              <w:rPr>
                <w:rFonts w:hAnsi="標楷體" w:hint="eastAsia"/>
                <w:b/>
                <w:color w:val="000000" w:themeColor="text1"/>
                <w:sz w:val="24"/>
                <w:szCs w:val="24"/>
                <w:u w:val="single"/>
              </w:rPr>
              <w:t>速偵案件</w:t>
            </w:r>
            <w:r w:rsidRPr="00065D08">
              <w:rPr>
                <w:rFonts w:hAnsi="標楷體" w:hint="eastAsia"/>
                <w:color w:val="000000" w:themeColor="text1"/>
                <w:sz w:val="24"/>
                <w:szCs w:val="24"/>
              </w:rPr>
              <w:t>。</w:t>
            </w:r>
          </w:p>
          <w:p w:rsidR="00E46702" w:rsidRPr="00065D08" w:rsidRDefault="00E46702" w:rsidP="00E46702">
            <w:pPr>
              <w:ind w:left="520" w:hangingChars="200" w:hanging="520"/>
              <w:rPr>
                <w:rFonts w:hAnsi="標楷體"/>
                <w:color w:val="000000" w:themeColor="text1"/>
                <w:sz w:val="24"/>
                <w:szCs w:val="24"/>
              </w:rPr>
            </w:pPr>
            <w:r w:rsidRPr="00065D08">
              <w:rPr>
                <w:rFonts w:hAnsi="標楷體" w:hint="eastAsia"/>
                <w:color w:val="000000" w:themeColor="text1"/>
                <w:sz w:val="24"/>
                <w:szCs w:val="24"/>
              </w:rPr>
              <w:t>三、</w:t>
            </w:r>
            <w:r w:rsidRPr="00065D08">
              <w:rPr>
                <w:rFonts w:hAnsi="標楷體" w:hint="eastAsia"/>
                <w:b/>
                <w:color w:val="000000" w:themeColor="text1"/>
                <w:sz w:val="24"/>
                <w:szCs w:val="24"/>
                <w:u w:val="single"/>
              </w:rPr>
              <w:t>告訴或告發案件</w:t>
            </w:r>
            <w:r w:rsidRPr="00065D08">
              <w:rPr>
                <w:rFonts w:hAnsi="標楷體" w:hint="eastAsia"/>
                <w:color w:val="000000" w:themeColor="text1"/>
                <w:sz w:val="24"/>
                <w:szCs w:val="24"/>
              </w:rPr>
              <w:t>：告訴人自行或具狀告發之案件，若負責審核發查案件之主任檢察官認宜逕行交由檢察事務官辦理者，亦得直接簽註發交檢察事務官輪分辦理。</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四、</w:t>
            </w:r>
            <w:r w:rsidRPr="00065D08">
              <w:rPr>
                <w:rFonts w:hAnsi="標楷體" w:hint="eastAsia"/>
                <w:b/>
                <w:color w:val="000000" w:themeColor="text1"/>
                <w:sz w:val="24"/>
                <w:szCs w:val="24"/>
                <w:u w:val="single"/>
              </w:rPr>
              <w:t>犯罪被害補償、求償案件</w:t>
            </w:r>
            <w:r w:rsidRPr="00065D08">
              <w:rPr>
                <w:rFonts w:hAnsi="標楷體" w:hint="eastAsia"/>
                <w:color w:val="000000" w:themeColor="text1"/>
                <w:sz w:val="24"/>
                <w:szCs w:val="24"/>
              </w:rPr>
              <w:t>。</w:t>
            </w:r>
          </w:p>
        </w:tc>
      </w:tr>
      <w:tr w:rsidR="00065D08" w:rsidRPr="00065D08" w:rsidTr="003D16ED">
        <w:tc>
          <w:tcPr>
            <w:tcW w:w="704"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lastRenderedPageBreak/>
              <w:t>臺灣臺中地方法院檢察署</w:t>
            </w:r>
          </w:p>
        </w:tc>
        <w:tc>
          <w:tcPr>
            <w:tcW w:w="4296"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依該要點之規定，該署檢察事務官襄助例行性之案件如下：</w:t>
            </w:r>
          </w:p>
          <w:p w:rsidR="00E46702" w:rsidRPr="00065D08" w:rsidRDefault="00E46702" w:rsidP="00E46702">
            <w:pPr>
              <w:numPr>
                <w:ilvl w:val="0"/>
                <w:numId w:val="37"/>
              </w:numPr>
              <w:rPr>
                <w:rFonts w:hAnsi="標楷體"/>
                <w:color w:val="000000" w:themeColor="text1"/>
                <w:sz w:val="24"/>
                <w:szCs w:val="24"/>
              </w:rPr>
            </w:pPr>
            <w:r w:rsidRPr="00065D08">
              <w:rPr>
                <w:rFonts w:hAnsi="標楷體" w:hint="eastAsia"/>
                <w:b/>
                <w:color w:val="000000" w:themeColor="text1"/>
                <w:sz w:val="24"/>
                <w:szCs w:val="24"/>
                <w:u w:val="single"/>
              </w:rPr>
              <w:t>被告姓名不詳或犯罪事實不具體之「他案」</w:t>
            </w:r>
            <w:r w:rsidRPr="00065D08">
              <w:rPr>
                <w:rFonts w:hAnsi="標楷體" w:hint="eastAsia"/>
                <w:color w:val="000000" w:themeColor="text1"/>
                <w:sz w:val="24"/>
                <w:szCs w:val="24"/>
              </w:rPr>
              <w:t>：視案件專業性質，分交給具有是類專長（如財稅、電子、土木及偵查等）之檢察事務官依指示調查處理。</w:t>
            </w:r>
          </w:p>
          <w:p w:rsidR="00E46702" w:rsidRPr="00065D08" w:rsidRDefault="00E46702" w:rsidP="00E46702">
            <w:pPr>
              <w:numPr>
                <w:ilvl w:val="0"/>
                <w:numId w:val="37"/>
              </w:numPr>
              <w:rPr>
                <w:rFonts w:hAnsi="標楷體"/>
                <w:color w:val="000000" w:themeColor="text1"/>
                <w:sz w:val="24"/>
                <w:szCs w:val="24"/>
              </w:rPr>
            </w:pPr>
            <w:r w:rsidRPr="00065D08">
              <w:rPr>
                <w:rFonts w:hAnsi="標楷體" w:hint="eastAsia"/>
                <w:b/>
                <w:color w:val="000000" w:themeColor="text1"/>
                <w:sz w:val="24"/>
                <w:szCs w:val="24"/>
                <w:u w:val="single"/>
              </w:rPr>
              <w:t>核交、交查案件</w:t>
            </w:r>
            <w:r w:rsidRPr="00065D08">
              <w:rPr>
                <w:rFonts w:hAnsi="標楷體" w:hint="eastAsia"/>
                <w:color w:val="000000" w:themeColor="text1"/>
                <w:sz w:val="24"/>
                <w:szCs w:val="24"/>
              </w:rPr>
              <w:t>。</w:t>
            </w:r>
          </w:p>
          <w:p w:rsidR="00E46702" w:rsidRPr="00065D08" w:rsidRDefault="00E46702" w:rsidP="00E46702">
            <w:pPr>
              <w:numPr>
                <w:ilvl w:val="0"/>
                <w:numId w:val="37"/>
              </w:numPr>
              <w:rPr>
                <w:rFonts w:hAnsi="標楷體"/>
                <w:color w:val="000000" w:themeColor="text1"/>
                <w:sz w:val="24"/>
                <w:szCs w:val="24"/>
              </w:rPr>
            </w:pPr>
            <w:r w:rsidRPr="00065D08">
              <w:rPr>
                <w:rFonts w:hAnsi="標楷體" w:hint="eastAsia"/>
                <w:b/>
                <w:color w:val="000000" w:themeColor="text1"/>
                <w:sz w:val="24"/>
                <w:szCs w:val="24"/>
                <w:u w:val="single"/>
              </w:rPr>
              <w:t>犯罪被害人保護法相關案件</w:t>
            </w:r>
            <w:r w:rsidRPr="00065D08">
              <w:rPr>
                <w:rFonts w:hAnsi="標楷體" w:hint="eastAsia"/>
                <w:color w:val="000000" w:themeColor="text1"/>
                <w:sz w:val="24"/>
                <w:szCs w:val="24"/>
              </w:rPr>
              <w:t>。</w:t>
            </w:r>
          </w:p>
          <w:p w:rsidR="00E46702" w:rsidRPr="00065D08" w:rsidRDefault="00E46702" w:rsidP="00E46702">
            <w:pPr>
              <w:numPr>
                <w:ilvl w:val="0"/>
                <w:numId w:val="37"/>
              </w:numPr>
              <w:rPr>
                <w:rFonts w:hAnsi="標楷體"/>
                <w:color w:val="000000" w:themeColor="text1"/>
                <w:sz w:val="24"/>
                <w:szCs w:val="24"/>
              </w:rPr>
            </w:pPr>
            <w:r w:rsidRPr="00065D08">
              <w:rPr>
                <w:rFonts w:hAnsi="標楷體" w:hint="eastAsia"/>
                <w:b/>
                <w:color w:val="000000" w:themeColor="text1"/>
                <w:sz w:val="24"/>
                <w:szCs w:val="24"/>
                <w:u w:val="single"/>
              </w:rPr>
              <w:t>施用毒品案件</w:t>
            </w:r>
            <w:r w:rsidRPr="00065D08">
              <w:rPr>
                <w:rFonts w:hAnsi="標楷體" w:hint="eastAsia"/>
                <w:color w:val="000000" w:themeColor="text1"/>
                <w:sz w:val="24"/>
                <w:szCs w:val="24"/>
              </w:rPr>
              <w:t>。</w:t>
            </w:r>
          </w:p>
          <w:p w:rsidR="00E46702" w:rsidRPr="00065D08" w:rsidRDefault="00E46702" w:rsidP="00E46702">
            <w:pPr>
              <w:numPr>
                <w:ilvl w:val="0"/>
                <w:numId w:val="37"/>
              </w:numPr>
              <w:rPr>
                <w:rFonts w:hAnsi="標楷體"/>
                <w:color w:val="000000" w:themeColor="text1"/>
                <w:sz w:val="24"/>
                <w:szCs w:val="24"/>
              </w:rPr>
            </w:pPr>
            <w:r w:rsidRPr="00065D08">
              <w:rPr>
                <w:rFonts w:hAnsi="標楷體" w:hint="eastAsia"/>
                <w:b/>
                <w:color w:val="000000" w:themeColor="text1"/>
                <w:sz w:val="24"/>
                <w:szCs w:val="24"/>
                <w:u w:val="single"/>
              </w:rPr>
              <w:t>假性財產犯罪案件</w:t>
            </w:r>
            <w:r w:rsidRPr="00065D08">
              <w:rPr>
                <w:rFonts w:hAnsi="標楷體" w:hint="eastAsia"/>
                <w:color w:val="000000" w:themeColor="text1"/>
                <w:sz w:val="24"/>
                <w:szCs w:val="24"/>
              </w:rPr>
              <w:t>：單純民事債務糾紛案件，惟以詐欺、侵占形態告訴、告發者。</w:t>
            </w:r>
          </w:p>
          <w:p w:rsidR="00E46702" w:rsidRPr="00065D08" w:rsidRDefault="00E46702" w:rsidP="00E46702">
            <w:pPr>
              <w:numPr>
                <w:ilvl w:val="0"/>
                <w:numId w:val="37"/>
              </w:numPr>
              <w:rPr>
                <w:rFonts w:hAnsi="標楷體"/>
                <w:color w:val="000000" w:themeColor="text1"/>
                <w:sz w:val="24"/>
                <w:szCs w:val="24"/>
              </w:rPr>
            </w:pPr>
            <w:r w:rsidRPr="00065D08">
              <w:rPr>
                <w:rFonts w:hAnsi="標楷體" w:hint="eastAsia"/>
                <w:b/>
                <w:color w:val="000000" w:themeColor="text1"/>
                <w:sz w:val="24"/>
                <w:szCs w:val="24"/>
                <w:u w:val="single"/>
              </w:rPr>
              <w:t>案情簡易之特定案件</w:t>
            </w:r>
            <w:r w:rsidRPr="00065D08">
              <w:rPr>
                <w:rFonts w:hAnsi="標楷體" w:hint="eastAsia"/>
                <w:color w:val="000000" w:themeColor="text1"/>
                <w:sz w:val="24"/>
                <w:szCs w:val="24"/>
              </w:rPr>
              <w:t>：「</w:t>
            </w:r>
            <w:r w:rsidRPr="00065D08">
              <w:rPr>
                <w:rFonts w:hAnsi="標楷體" w:hint="eastAsia"/>
                <w:b/>
                <w:color w:val="000000" w:themeColor="text1"/>
                <w:sz w:val="24"/>
                <w:szCs w:val="24"/>
                <w:u w:val="single"/>
              </w:rPr>
              <w:t>單純竊盜」、「酒醉駕車之公共危險」、「妨害兵役」、「賭博」、「電子遊戲場業管理條例」、「兒童及少年性交易防制條例第29條(如網路散布援交訊息)之案件」</w:t>
            </w:r>
            <w:r w:rsidRPr="00065D08">
              <w:rPr>
                <w:rFonts w:hAnsi="標楷體" w:hint="eastAsia"/>
                <w:color w:val="000000" w:themeColor="text1"/>
                <w:sz w:val="24"/>
                <w:szCs w:val="24"/>
              </w:rPr>
              <w:t>等案件及其他經「立案審查組」檢察官認為案情單純、適合由檢察事務官襄助辦理之簡易案件（如出售人頭帳戶詐欺、單純傷害等）。</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註：「兒童及少年性交易防制條例」已於104年2月4日名稱修正為「兒童及少年性剝削防制條例」，惟施行日期，行政院尚未定之。</w:t>
            </w:r>
          </w:p>
        </w:tc>
      </w:tr>
      <w:tr w:rsidR="00065D08" w:rsidRPr="00065D08" w:rsidTr="003D16ED">
        <w:tc>
          <w:tcPr>
            <w:tcW w:w="704"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臺灣南投地方法院檢察署</w:t>
            </w:r>
          </w:p>
        </w:tc>
        <w:tc>
          <w:tcPr>
            <w:tcW w:w="4296"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該署目前歸類為</w:t>
            </w:r>
            <w:r w:rsidRPr="00065D08">
              <w:rPr>
                <w:rFonts w:hAnsi="標楷體" w:hint="eastAsia"/>
                <w:b/>
                <w:color w:val="000000" w:themeColor="text1"/>
                <w:sz w:val="24"/>
                <w:szCs w:val="24"/>
                <w:u w:val="single"/>
              </w:rPr>
              <w:t>例行性案件</w:t>
            </w:r>
            <w:r w:rsidRPr="00065D08">
              <w:rPr>
                <w:rFonts w:hAnsi="標楷體" w:hint="eastAsia"/>
                <w:color w:val="000000" w:themeColor="text1"/>
                <w:sz w:val="24"/>
                <w:szCs w:val="24"/>
              </w:rPr>
              <w:t>者計有：</w:t>
            </w:r>
            <w:r w:rsidRPr="00065D08">
              <w:rPr>
                <w:rFonts w:hAnsi="標楷體" w:hint="eastAsia"/>
                <w:b/>
                <w:color w:val="000000" w:themeColor="text1"/>
                <w:sz w:val="24"/>
                <w:szCs w:val="24"/>
                <w:u w:val="single"/>
              </w:rPr>
              <w:t>犯罪被害人保護法相關案件、施用毒品案件、單純賭博案件、妨害兵役案件、酒駕之公共危險案件、民參案件</w:t>
            </w:r>
            <w:r w:rsidRPr="00065D08">
              <w:rPr>
                <w:rFonts w:hAnsi="標楷體" w:hint="eastAsia"/>
                <w:color w:val="000000" w:themeColor="text1"/>
                <w:sz w:val="24"/>
                <w:szCs w:val="24"/>
              </w:rPr>
              <w:t>。</w:t>
            </w:r>
          </w:p>
        </w:tc>
      </w:tr>
      <w:tr w:rsidR="00065D08" w:rsidRPr="00065D08" w:rsidTr="003D16ED">
        <w:tc>
          <w:tcPr>
            <w:tcW w:w="704"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臺灣彰化地方法院檢察署</w:t>
            </w:r>
          </w:p>
        </w:tc>
        <w:tc>
          <w:tcPr>
            <w:tcW w:w="4296"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目前該署例行性事務包括</w:t>
            </w:r>
            <w:r w:rsidRPr="00065D08">
              <w:rPr>
                <w:rFonts w:hAnsi="標楷體" w:hint="eastAsia"/>
                <w:b/>
                <w:color w:val="000000" w:themeColor="text1"/>
                <w:sz w:val="24"/>
                <w:szCs w:val="24"/>
                <w:u w:val="single"/>
              </w:rPr>
              <w:t>1.核交、交查案件。2.犯罪被害人保護法相關案件。3.施用及單純持有毒品案件。4.假性財產犯罪案件。5.幫助詐欺、過失傷害、賭博及酒後駕車公共危險案件。</w:t>
            </w:r>
          </w:p>
        </w:tc>
      </w:tr>
      <w:tr w:rsidR="00065D08" w:rsidRPr="00065D08" w:rsidTr="003D16ED">
        <w:tc>
          <w:tcPr>
            <w:tcW w:w="704"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臺灣雲林地方法院檢察署</w:t>
            </w:r>
          </w:p>
        </w:tc>
        <w:tc>
          <w:tcPr>
            <w:tcW w:w="4296"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該署依據「地方法院檢察署檢察事務官事務分配要點」第4點第5款之規定由檢察事務官辦理之「例行性事務」如下:</w:t>
            </w:r>
          </w:p>
          <w:p w:rsidR="00E46702" w:rsidRPr="00065D08" w:rsidRDefault="00E46702" w:rsidP="00E46702">
            <w:pPr>
              <w:ind w:left="497" w:hangingChars="191" w:hanging="497"/>
              <w:rPr>
                <w:rFonts w:hAnsi="標楷體"/>
                <w:color w:val="000000" w:themeColor="text1"/>
                <w:sz w:val="24"/>
                <w:szCs w:val="24"/>
              </w:rPr>
            </w:pPr>
            <w:r w:rsidRPr="00065D08">
              <w:rPr>
                <w:rFonts w:hAnsi="標楷體" w:hint="eastAsia"/>
                <w:color w:val="000000" w:themeColor="text1"/>
                <w:sz w:val="24"/>
                <w:szCs w:val="24"/>
              </w:rPr>
              <w:t>一、</w:t>
            </w:r>
            <w:r w:rsidRPr="00065D08">
              <w:rPr>
                <w:rFonts w:hAnsi="標楷體" w:hint="eastAsia"/>
                <w:b/>
                <w:color w:val="000000" w:themeColor="text1"/>
                <w:sz w:val="24"/>
                <w:szCs w:val="24"/>
                <w:u w:val="single"/>
              </w:rPr>
              <w:t>例行性案件</w:t>
            </w:r>
            <w:r w:rsidRPr="00065D08">
              <w:rPr>
                <w:rFonts w:hAnsi="標楷體" w:hint="eastAsia"/>
                <w:color w:val="000000" w:themeColor="text1"/>
                <w:sz w:val="24"/>
                <w:szCs w:val="24"/>
              </w:rPr>
              <w:t>：例行性案件限定某些類型案件逕由分案室輪分予檢察事務官辦理，再由配屬之主任檢察官簽名。包括下列案件：</w:t>
            </w:r>
          </w:p>
          <w:p w:rsidR="00E46702" w:rsidRPr="00065D08" w:rsidRDefault="00E46702" w:rsidP="00E46702">
            <w:pPr>
              <w:ind w:leftChars="54" w:left="647" w:hangingChars="178" w:hanging="463"/>
              <w:rPr>
                <w:rFonts w:hAnsi="標楷體"/>
                <w:color w:val="000000" w:themeColor="text1"/>
                <w:sz w:val="24"/>
                <w:szCs w:val="24"/>
              </w:rPr>
            </w:pPr>
            <w:r w:rsidRPr="00065D08">
              <w:rPr>
                <w:rFonts w:hAnsi="標楷體" w:hint="eastAsia"/>
                <w:color w:val="000000" w:themeColor="text1"/>
                <w:sz w:val="24"/>
                <w:szCs w:val="24"/>
              </w:rPr>
              <w:t>(一)</w:t>
            </w:r>
            <w:r w:rsidRPr="00065D08">
              <w:rPr>
                <w:rFonts w:hAnsi="標楷體" w:hint="eastAsia"/>
                <w:b/>
                <w:color w:val="000000" w:themeColor="text1"/>
                <w:sz w:val="24"/>
                <w:szCs w:val="24"/>
                <w:u w:val="single"/>
              </w:rPr>
              <w:t>刑事簡易案件</w:t>
            </w:r>
            <w:r w:rsidRPr="00065D08">
              <w:rPr>
                <w:rFonts w:hAnsi="標楷體" w:hint="eastAsia"/>
                <w:color w:val="000000" w:themeColor="text1"/>
                <w:sz w:val="24"/>
                <w:szCs w:val="24"/>
              </w:rPr>
              <w:t>：即</w:t>
            </w:r>
            <w:r w:rsidRPr="00065D08">
              <w:rPr>
                <w:rFonts w:hAnsi="標楷體" w:hint="eastAsia"/>
                <w:b/>
                <w:color w:val="000000" w:themeColor="text1"/>
                <w:sz w:val="24"/>
                <w:szCs w:val="24"/>
                <w:u w:val="single"/>
              </w:rPr>
              <w:t>施用毒品、人頭帳戶電話詐欺、兒少性交易防制條例第29條之案件、竊盜坦承、妨害兵役、電子遊戲場業管理條例、六合彩、職棒簽賭、公眾場所賭博、傷害及毀損撤回告訴</w:t>
            </w:r>
            <w:r w:rsidRPr="00065D08">
              <w:rPr>
                <w:rFonts w:hAnsi="標楷體" w:hint="eastAsia"/>
                <w:color w:val="000000" w:themeColor="text1"/>
                <w:sz w:val="24"/>
                <w:szCs w:val="24"/>
              </w:rPr>
              <w:t>等簡易案件。</w:t>
            </w:r>
          </w:p>
          <w:p w:rsidR="00E46702" w:rsidRPr="00065D08" w:rsidRDefault="00E46702" w:rsidP="00E46702">
            <w:pPr>
              <w:ind w:leftChars="54" w:left="647" w:hangingChars="178" w:hanging="463"/>
              <w:rPr>
                <w:rFonts w:hAnsi="標楷體"/>
                <w:color w:val="000000" w:themeColor="text1"/>
                <w:sz w:val="24"/>
                <w:szCs w:val="24"/>
              </w:rPr>
            </w:pPr>
            <w:r w:rsidRPr="00065D08">
              <w:rPr>
                <w:rFonts w:hAnsi="標楷體" w:hint="eastAsia"/>
                <w:color w:val="000000" w:themeColor="text1"/>
                <w:sz w:val="24"/>
                <w:szCs w:val="24"/>
              </w:rPr>
              <w:t>(二)</w:t>
            </w:r>
            <w:r w:rsidRPr="00065D08">
              <w:rPr>
                <w:rFonts w:hAnsi="標楷體" w:hint="eastAsia"/>
                <w:b/>
                <w:color w:val="000000" w:themeColor="text1"/>
                <w:sz w:val="24"/>
                <w:szCs w:val="24"/>
                <w:u w:val="single"/>
              </w:rPr>
              <w:t>告訴或告發案件</w:t>
            </w:r>
            <w:r w:rsidRPr="00065D08">
              <w:rPr>
                <w:rFonts w:hAnsi="標楷體" w:hint="eastAsia"/>
                <w:color w:val="000000" w:themeColor="text1"/>
                <w:sz w:val="24"/>
                <w:szCs w:val="24"/>
              </w:rPr>
              <w:t>：告訴人自行或具狀告發之</w:t>
            </w:r>
            <w:r w:rsidRPr="00065D08">
              <w:rPr>
                <w:rFonts w:hAnsi="標楷體" w:hint="eastAsia"/>
                <w:b/>
                <w:color w:val="000000" w:themeColor="text1"/>
                <w:sz w:val="24"/>
                <w:szCs w:val="24"/>
                <w:u w:val="single"/>
              </w:rPr>
              <w:t>假性財產犯罪</w:t>
            </w:r>
            <w:r w:rsidRPr="00065D08">
              <w:rPr>
                <w:rFonts w:hAnsi="標楷體" w:hint="eastAsia"/>
                <w:color w:val="000000" w:themeColor="text1"/>
                <w:sz w:val="24"/>
                <w:szCs w:val="24"/>
              </w:rPr>
              <w:t>案件。</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 xml:space="preserve"> (三)</w:t>
            </w:r>
            <w:r w:rsidRPr="00065D08">
              <w:rPr>
                <w:rFonts w:hAnsi="標楷體" w:hint="eastAsia"/>
                <w:b/>
                <w:color w:val="000000" w:themeColor="text1"/>
                <w:sz w:val="24"/>
                <w:szCs w:val="24"/>
                <w:u w:val="single"/>
              </w:rPr>
              <w:t>犯罪被害補償及求償案件</w:t>
            </w:r>
            <w:r w:rsidRPr="00065D08">
              <w:rPr>
                <w:rFonts w:hAnsi="標楷體" w:hint="eastAsia"/>
                <w:color w:val="000000" w:themeColor="text1"/>
                <w:sz w:val="24"/>
                <w:szCs w:val="24"/>
              </w:rPr>
              <w:t>。</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 xml:space="preserve"> (四)</w:t>
            </w:r>
            <w:r w:rsidRPr="00065D08">
              <w:rPr>
                <w:rFonts w:hAnsi="標楷體" w:hint="eastAsia"/>
                <w:b/>
                <w:color w:val="000000" w:themeColor="text1"/>
                <w:sz w:val="24"/>
                <w:szCs w:val="24"/>
                <w:u w:val="single"/>
              </w:rPr>
              <w:t>犯罪資料庫之建檔及分析</w:t>
            </w:r>
            <w:r w:rsidRPr="00065D08">
              <w:rPr>
                <w:rFonts w:hAnsi="標楷體" w:hint="eastAsia"/>
                <w:color w:val="000000" w:themeColor="text1"/>
                <w:sz w:val="24"/>
                <w:szCs w:val="24"/>
              </w:rPr>
              <w:t>。</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lastRenderedPageBreak/>
              <w:t>二、檢察官交辦案件：</w:t>
            </w:r>
          </w:p>
          <w:p w:rsidR="00E46702" w:rsidRPr="00065D08" w:rsidRDefault="00E46702" w:rsidP="00E46702">
            <w:pPr>
              <w:ind w:leftChars="143" w:left="486"/>
              <w:rPr>
                <w:rFonts w:hAnsi="標楷體"/>
                <w:color w:val="000000" w:themeColor="text1"/>
                <w:sz w:val="24"/>
                <w:szCs w:val="24"/>
              </w:rPr>
            </w:pPr>
            <w:r w:rsidRPr="00065D08">
              <w:rPr>
                <w:rFonts w:hAnsi="標楷體" w:hint="eastAsia"/>
                <w:color w:val="000000" w:themeColor="text1"/>
                <w:sz w:val="24"/>
                <w:szCs w:val="24"/>
              </w:rPr>
              <w:t>由檢察官填寫「檢察官送分交查進行單」，指示應辦理事項後，檢卷陳送該組主任檢察官、檢察長核章後，交由分案室分[交查]案，輪分予檢察事務官辦理。</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三、支援檢察官偵辦重大案件：</w:t>
            </w:r>
          </w:p>
          <w:p w:rsidR="00E46702" w:rsidRPr="00065D08" w:rsidRDefault="00E46702" w:rsidP="00E46702">
            <w:pPr>
              <w:ind w:leftChars="143" w:left="487" w:hanging="1"/>
              <w:rPr>
                <w:rFonts w:hAnsi="標楷體"/>
                <w:color w:val="000000" w:themeColor="text1"/>
                <w:sz w:val="24"/>
                <w:szCs w:val="24"/>
              </w:rPr>
            </w:pPr>
            <w:r w:rsidRPr="00065D08">
              <w:rPr>
                <w:rFonts w:hAnsi="標楷體" w:hint="eastAsia"/>
                <w:color w:val="000000" w:themeColor="text1"/>
                <w:sz w:val="24"/>
                <w:szCs w:val="24"/>
              </w:rPr>
              <w:t>檢察長指定之專案，由2位檢察事務官組成「專案小組」，並由檢察長指派之主任檢察官負責督導，專責協助檢察官辦理檢察長指定之專案。</w:t>
            </w:r>
          </w:p>
        </w:tc>
      </w:tr>
      <w:tr w:rsidR="00065D08" w:rsidRPr="00065D08" w:rsidTr="003D16ED">
        <w:tc>
          <w:tcPr>
            <w:tcW w:w="704"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lastRenderedPageBreak/>
              <w:t>臺灣嘉義地方法院檢察署</w:t>
            </w:r>
          </w:p>
        </w:tc>
        <w:tc>
          <w:tcPr>
            <w:tcW w:w="4296"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該署檢察事務官襄助檢察官偵辦案件分為「交查」、「核交」、「交辦」，其等案件性質、範圍如檢察官「交查」、「交辦」、「核交」檢察事務官調查或辦理之案件分類表及臺灣嘉義地方法院檢察署檢察官交查、核交、交辦進行單所示。</w:t>
            </w:r>
          </w:p>
        </w:tc>
      </w:tr>
      <w:tr w:rsidR="00065D08" w:rsidRPr="00065D08" w:rsidTr="003D16ED">
        <w:tc>
          <w:tcPr>
            <w:tcW w:w="704"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臺灣臺南地方法院檢察署</w:t>
            </w:r>
          </w:p>
        </w:tc>
        <w:tc>
          <w:tcPr>
            <w:tcW w:w="4296"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該署現依「地方法院檢察署檢察事務官事務分配要點」第4點第5款之規定，將</w:t>
            </w:r>
            <w:r w:rsidRPr="00065D08">
              <w:rPr>
                <w:rFonts w:hAnsi="標楷體" w:hint="eastAsia"/>
                <w:b/>
                <w:color w:val="000000" w:themeColor="text1"/>
                <w:sz w:val="24"/>
                <w:szCs w:val="24"/>
                <w:u w:val="single"/>
              </w:rPr>
              <w:t>核交、交查案件</w:t>
            </w:r>
            <w:r w:rsidRPr="00065D08">
              <w:rPr>
                <w:rFonts w:hAnsi="標楷體" w:hint="eastAsia"/>
                <w:color w:val="000000" w:themeColor="text1"/>
                <w:sz w:val="24"/>
                <w:szCs w:val="24"/>
              </w:rPr>
              <w:t>、</w:t>
            </w:r>
            <w:r w:rsidRPr="00065D08">
              <w:rPr>
                <w:rFonts w:hAnsi="標楷體" w:hint="eastAsia"/>
                <w:b/>
                <w:color w:val="000000" w:themeColor="text1"/>
                <w:sz w:val="24"/>
                <w:szCs w:val="24"/>
                <w:u w:val="single"/>
              </w:rPr>
              <w:t>假性財產犯罪案件(僅限案由為詐欺)</w:t>
            </w:r>
            <w:r w:rsidRPr="00065D08">
              <w:rPr>
                <w:rFonts w:hAnsi="標楷體" w:hint="eastAsia"/>
                <w:color w:val="000000" w:themeColor="text1"/>
                <w:sz w:val="24"/>
                <w:szCs w:val="24"/>
              </w:rPr>
              <w:t>、</w:t>
            </w:r>
            <w:r w:rsidRPr="00065D08">
              <w:rPr>
                <w:rFonts w:hAnsi="標楷體" w:hint="eastAsia"/>
                <w:b/>
                <w:color w:val="000000" w:themeColor="text1"/>
                <w:sz w:val="24"/>
                <w:szCs w:val="24"/>
                <w:u w:val="single"/>
              </w:rPr>
              <w:t>最重本刑為1年以下有期徒刑或屬告訴乃論之案情簡易案件</w:t>
            </w:r>
            <w:r w:rsidRPr="00065D08">
              <w:rPr>
                <w:rFonts w:hAnsi="標楷體" w:hint="eastAsia"/>
                <w:color w:val="000000" w:themeColor="text1"/>
                <w:sz w:val="24"/>
                <w:szCs w:val="24"/>
              </w:rPr>
              <w:t>歸類為該條款所稱之「</w:t>
            </w:r>
            <w:r w:rsidRPr="00065D08">
              <w:rPr>
                <w:rFonts w:hAnsi="標楷體" w:hint="eastAsia"/>
                <w:b/>
                <w:color w:val="000000" w:themeColor="text1"/>
                <w:sz w:val="24"/>
                <w:szCs w:val="24"/>
                <w:u w:val="single"/>
              </w:rPr>
              <w:t>例行性事務</w:t>
            </w:r>
            <w:r w:rsidRPr="00065D08">
              <w:rPr>
                <w:rFonts w:hAnsi="標楷體" w:hint="eastAsia"/>
                <w:color w:val="000000" w:themeColor="text1"/>
                <w:sz w:val="24"/>
                <w:szCs w:val="24"/>
              </w:rPr>
              <w:t>」。</w:t>
            </w:r>
          </w:p>
        </w:tc>
      </w:tr>
      <w:tr w:rsidR="00065D08" w:rsidRPr="00065D08" w:rsidTr="003D16ED">
        <w:tc>
          <w:tcPr>
            <w:tcW w:w="704"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臺灣高雄地方法院檢察署</w:t>
            </w:r>
          </w:p>
        </w:tc>
        <w:tc>
          <w:tcPr>
            <w:tcW w:w="4296"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該署依據「地方法院檢察署檢察事務官事務分配要點」第4點第5款分配予檢察事務官辦理之例行性事務，包括：</w:t>
            </w:r>
          </w:p>
          <w:p w:rsidR="00E46702" w:rsidRPr="00065D08" w:rsidRDefault="00E46702" w:rsidP="00E46702">
            <w:pPr>
              <w:numPr>
                <w:ilvl w:val="0"/>
                <w:numId w:val="38"/>
              </w:numPr>
              <w:rPr>
                <w:rFonts w:hAnsi="標楷體"/>
                <w:color w:val="000000" w:themeColor="text1"/>
                <w:sz w:val="24"/>
                <w:szCs w:val="24"/>
              </w:rPr>
            </w:pPr>
            <w:r w:rsidRPr="00065D08">
              <w:rPr>
                <w:rFonts w:hAnsi="標楷體" w:hint="eastAsia"/>
                <w:b/>
                <w:color w:val="000000" w:themeColor="text1"/>
                <w:sz w:val="24"/>
                <w:szCs w:val="24"/>
                <w:u w:val="single"/>
              </w:rPr>
              <w:t>核交、交查案件</w:t>
            </w:r>
            <w:r w:rsidRPr="00065D08">
              <w:rPr>
                <w:rFonts w:hAnsi="標楷體" w:hint="eastAsia"/>
                <w:color w:val="000000" w:themeColor="text1"/>
                <w:sz w:val="24"/>
                <w:szCs w:val="24"/>
              </w:rPr>
              <w:t>（該款第2目）。</w:t>
            </w:r>
          </w:p>
          <w:p w:rsidR="00E46702" w:rsidRPr="00065D08" w:rsidRDefault="00E46702" w:rsidP="00E46702">
            <w:pPr>
              <w:numPr>
                <w:ilvl w:val="0"/>
                <w:numId w:val="38"/>
              </w:numPr>
              <w:rPr>
                <w:rFonts w:hAnsi="標楷體"/>
                <w:color w:val="000000" w:themeColor="text1"/>
                <w:sz w:val="24"/>
                <w:szCs w:val="24"/>
              </w:rPr>
            </w:pPr>
            <w:r w:rsidRPr="00065D08">
              <w:rPr>
                <w:rFonts w:hAnsi="標楷體" w:hint="eastAsia"/>
                <w:b/>
                <w:color w:val="000000" w:themeColor="text1"/>
                <w:sz w:val="24"/>
                <w:szCs w:val="24"/>
                <w:u w:val="single"/>
              </w:rPr>
              <w:t>犯罪被害人保護法相關案件</w:t>
            </w:r>
            <w:r w:rsidRPr="00065D08">
              <w:rPr>
                <w:rFonts w:hAnsi="標楷體" w:hint="eastAsia"/>
                <w:color w:val="000000" w:themeColor="text1"/>
                <w:sz w:val="24"/>
                <w:szCs w:val="24"/>
              </w:rPr>
              <w:t>（該款第3目，指定專股辦理）。</w:t>
            </w:r>
          </w:p>
          <w:p w:rsidR="00E46702" w:rsidRPr="00065D08" w:rsidRDefault="00E46702" w:rsidP="00E46702">
            <w:pPr>
              <w:numPr>
                <w:ilvl w:val="0"/>
                <w:numId w:val="38"/>
              </w:numPr>
              <w:rPr>
                <w:rFonts w:hAnsi="標楷體"/>
                <w:color w:val="000000" w:themeColor="text1"/>
                <w:sz w:val="24"/>
                <w:szCs w:val="24"/>
              </w:rPr>
            </w:pPr>
            <w:r w:rsidRPr="00065D08">
              <w:rPr>
                <w:rFonts w:hAnsi="標楷體" w:hint="eastAsia"/>
                <w:b/>
                <w:color w:val="000000" w:themeColor="text1"/>
                <w:sz w:val="24"/>
                <w:szCs w:val="24"/>
                <w:u w:val="single"/>
              </w:rPr>
              <w:t>施用毒品案件</w:t>
            </w:r>
            <w:r w:rsidRPr="00065D08">
              <w:rPr>
                <w:rFonts w:hAnsi="標楷體" w:hint="eastAsia"/>
                <w:color w:val="000000" w:themeColor="text1"/>
                <w:sz w:val="24"/>
                <w:szCs w:val="24"/>
              </w:rPr>
              <w:t>（該款第4目）。</w:t>
            </w:r>
          </w:p>
          <w:p w:rsidR="00E46702" w:rsidRPr="00065D08" w:rsidRDefault="00E46702" w:rsidP="00E46702">
            <w:pPr>
              <w:numPr>
                <w:ilvl w:val="0"/>
                <w:numId w:val="38"/>
              </w:numPr>
              <w:rPr>
                <w:rFonts w:hAnsi="標楷體"/>
                <w:color w:val="000000" w:themeColor="text1"/>
                <w:sz w:val="24"/>
                <w:szCs w:val="24"/>
              </w:rPr>
            </w:pPr>
            <w:r w:rsidRPr="00065D08">
              <w:rPr>
                <w:rFonts w:hAnsi="標楷體" w:hint="eastAsia"/>
                <w:b/>
                <w:color w:val="000000" w:themeColor="text1"/>
                <w:sz w:val="24"/>
                <w:szCs w:val="24"/>
                <w:u w:val="single"/>
              </w:rPr>
              <w:t>假性財產犯罪案件</w:t>
            </w:r>
            <w:r w:rsidRPr="00065D08">
              <w:rPr>
                <w:rFonts w:hAnsi="標楷體" w:hint="eastAsia"/>
                <w:color w:val="000000" w:themeColor="text1"/>
                <w:sz w:val="24"/>
                <w:szCs w:val="24"/>
              </w:rPr>
              <w:t>（該款第5目）。</w:t>
            </w:r>
          </w:p>
          <w:p w:rsidR="00E46702" w:rsidRPr="00065D08" w:rsidRDefault="00E46702" w:rsidP="00E46702">
            <w:pPr>
              <w:numPr>
                <w:ilvl w:val="0"/>
                <w:numId w:val="38"/>
              </w:numPr>
              <w:rPr>
                <w:rFonts w:hAnsi="標楷體"/>
                <w:color w:val="000000" w:themeColor="text1"/>
                <w:sz w:val="24"/>
                <w:szCs w:val="24"/>
              </w:rPr>
            </w:pPr>
            <w:r w:rsidRPr="00065D08">
              <w:rPr>
                <w:rFonts w:hAnsi="標楷體" w:hint="eastAsia"/>
                <w:b/>
                <w:color w:val="000000" w:themeColor="text1"/>
                <w:sz w:val="24"/>
                <w:szCs w:val="24"/>
                <w:u w:val="single"/>
              </w:rPr>
              <w:t>案情簡易之特定案件</w:t>
            </w:r>
            <w:r w:rsidRPr="00065D08">
              <w:rPr>
                <w:rFonts w:hAnsi="標楷體" w:hint="eastAsia"/>
                <w:color w:val="000000" w:themeColor="text1"/>
                <w:sz w:val="24"/>
                <w:szCs w:val="24"/>
              </w:rPr>
              <w:t>（該款第6目，目前包含</w:t>
            </w:r>
            <w:r w:rsidRPr="00065D08">
              <w:rPr>
                <w:rFonts w:hAnsi="標楷體" w:hint="eastAsia"/>
                <w:b/>
                <w:color w:val="000000" w:themeColor="text1"/>
                <w:sz w:val="24"/>
                <w:szCs w:val="24"/>
                <w:u w:val="single"/>
              </w:rPr>
              <w:t>1.人頭帳戶與人頭電話詐欺案件。2.商標法第97條案件。3.毀損案件。4.非集團性之贓物案件。5.酒醉駕車案件。</w:t>
            </w:r>
            <w:r w:rsidRPr="00065D08">
              <w:rPr>
                <w:rFonts w:hAnsi="標楷體" w:hint="eastAsia"/>
                <w:color w:val="000000" w:themeColor="text1"/>
                <w:sz w:val="24"/>
                <w:szCs w:val="24"/>
              </w:rPr>
              <w:t>）</w:t>
            </w:r>
          </w:p>
          <w:p w:rsidR="00E46702" w:rsidRPr="00065D08" w:rsidRDefault="00E46702" w:rsidP="00E46702">
            <w:pPr>
              <w:numPr>
                <w:ilvl w:val="0"/>
                <w:numId w:val="38"/>
              </w:numPr>
              <w:rPr>
                <w:rFonts w:hAnsi="標楷體"/>
                <w:color w:val="000000" w:themeColor="text1"/>
                <w:sz w:val="24"/>
                <w:szCs w:val="24"/>
              </w:rPr>
            </w:pPr>
            <w:r w:rsidRPr="00065D08">
              <w:rPr>
                <w:rFonts w:hAnsi="標楷體" w:hint="eastAsia"/>
                <w:color w:val="000000" w:themeColor="text1"/>
                <w:sz w:val="24"/>
                <w:szCs w:val="24"/>
              </w:rPr>
              <w:t>其他經檢察長指定之案件（該款第7目，</w:t>
            </w:r>
            <w:r w:rsidRPr="00065D08">
              <w:rPr>
                <w:rFonts w:hAnsi="標楷體" w:hint="eastAsia"/>
                <w:b/>
                <w:color w:val="000000" w:themeColor="text1"/>
                <w:sz w:val="24"/>
                <w:szCs w:val="24"/>
                <w:u w:val="single"/>
              </w:rPr>
              <w:t>司法警察移送案件之立案審查，指定資深事務官專股辦理）</w:t>
            </w:r>
            <w:r w:rsidRPr="00065D08">
              <w:rPr>
                <w:rFonts w:hAnsi="標楷體" w:hint="eastAsia"/>
                <w:color w:val="000000" w:themeColor="text1"/>
                <w:sz w:val="24"/>
                <w:szCs w:val="24"/>
              </w:rPr>
              <w:t>。</w:t>
            </w:r>
          </w:p>
        </w:tc>
      </w:tr>
      <w:tr w:rsidR="00065D08" w:rsidRPr="00065D08" w:rsidTr="003D16ED">
        <w:tc>
          <w:tcPr>
            <w:tcW w:w="704"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臺灣屏東地方法院檢察署</w:t>
            </w:r>
          </w:p>
        </w:tc>
        <w:tc>
          <w:tcPr>
            <w:tcW w:w="4296"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該署目前係將</w:t>
            </w:r>
            <w:r w:rsidRPr="00065D08">
              <w:rPr>
                <w:rFonts w:hAnsi="標楷體" w:hint="eastAsia"/>
                <w:b/>
                <w:color w:val="000000" w:themeColor="text1"/>
                <w:sz w:val="24"/>
                <w:szCs w:val="24"/>
                <w:u w:val="single"/>
              </w:rPr>
              <w:t>單純施用毒品</w:t>
            </w:r>
            <w:r w:rsidRPr="00065D08">
              <w:rPr>
                <w:rFonts w:hAnsi="標楷體" w:hint="eastAsia"/>
                <w:color w:val="000000" w:themeColor="text1"/>
                <w:sz w:val="24"/>
                <w:szCs w:val="24"/>
              </w:rPr>
              <w:t>、及</w:t>
            </w:r>
            <w:r w:rsidRPr="00065D08">
              <w:rPr>
                <w:rFonts w:hAnsi="標楷體" w:hint="eastAsia"/>
                <w:b/>
                <w:color w:val="000000" w:themeColor="text1"/>
                <w:sz w:val="24"/>
                <w:szCs w:val="24"/>
                <w:u w:val="single"/>
              </w:rPr>
              <w:t>單純酒駕</w:t>
            </w:r>
            <w:r w:rsidRPr="00065D08">
              <w:rPr>
                <w:rFonts w:hAnsi="標楷體" w:hint="eastAsia"/>
                <w:color w:val="000000" w:themeColor="text1"/>
                <w:sz w:val="24"/>
                <w:szCs w:val="24"/>
              </w:rPr>
              <w:t>、</w:t>
            </w:r>
            <w:r w:rsidRPr="00065D08">
              <w:rPr>
                <w:rFonts w:hAnsi="標楷體" w:hint="eastAsia"/>
                <w:b/>
                <w:color w:val="000000" w:themeColor="text1"/>
                <w:sz w:val="24"/>
                <w:szCs w:val="24"/>
                <w:u w:val="single"/>
              </w:rPr>
              <w:t>補審求償</w:t>
            </w:r>
            <w:r w:rsidRPr="00065D08">
              <w:rPr>
                <w:rFonts w:hAnsi="標楷體" w:hint="eastAsia"/>
                <w:color w:val="000000" w:themeColor="text1"/>
                <w:sz w:val="24"/>
                <w:szCs w:val="24"/>
              </w:rPr>
              <w:t>(補審求償案件專組檢察事務官不參與輪分)及</w:t>
            </w:r>
            <w:r w:rsidRPr="00065D08">
              <w:rPr>
                <w:rFonts w:hAnsi="標楷體" w:hint="eastAsia"/>
                <w:b/>
                <w:color w:val="000000" w:themeColor="text1"/>
                <w:sz w:val="24"/>
                <w:szCs w:val="24"/>
                <w:u w:val="single"/>
              </w:rPr>
              <w:t>速偵案件</w:t>
            </w:r>
            <w:r w:rsidRPr="00065D08">
              <w:rPr>
                <w:rFonts w:hAnsi="標楷體" w:hint="eastAsia"/>
                <w:color w:val="000000" w:themeColor="text1"/>
                <w:sz w:val="24"/>
                <w:szCs w:val="24"/>
              </w:rPr>
              <w:t>歸類為例行性事務。</w:t>
            </w:r>
          </w:p>
        </w:tc>
      </w:tr>
      <w:tr w:rsidR="00065D08" w:rsidRPr="00065D08" w:rsidTr="003D16ED">
        <w:tc>
          <w:tcPr>
            <w:tcW w:w="704"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臺灣臺東地方法院檢察署</w:t>
            </w:r>
          </w:p>
        </w:tc>
        <w:tc>
          <w:tcPr>
            <w:tcW w:w="4296"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該署未特定將何種案件及事項應核交、交查予檢察事務官辦理，僅</w:t>
            </w:r>
            <w:r w:rsidRPr="00065D08">
              <w:rPr>
                <w:rFonts w:hAnsi="標楷體" w:hint="eastAsia"/>
                <w:b/>
                <w:color w:val="000000" w:themeColor="text1"/>
                <w:sz w:val="24"/>
                <w:szCs w:val="24"/>
                <w:u w:val="single"/>
              </w:rPr>
              <w:t>犯罪被害人補償及求償案件</w:t>
            </w:r>
            <w:r w:rsidRPr="00065D08">
              <w:rPr>
                <w:rFonts w:hAnsi="標楷體" w:hint="eastAsia"/>
                <w:color w:val="000000" w:themeColor="text1"/>
                <w:sz w:val="24"/>
                <w:szCs w:val="24"/>
              </w:rPr>
              <w:t>則由檢察事務官協助處理。</w:t>
            </w:r>
          </w:p>
        </w:tc>
      </w:tr>
      <w:tr w:rsidR="00065D08" w:rsidRPr="00065D08" w:rsidTr="003D16ED">
        <w:tc>
          <w:tcPr>
            <w:tcW w:w="704"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臺灣花蓮地方法院檢察署</w:t>
            </w:r>
          </w:p>
        </w:tc>
        <w:tc>
          <w:tcPr>
            <w:tcW w:w="4296" w:type="pct"/>
          </w:tcPr>
          <w:p w:rsidR="00E46702" w:rsidRPr="00065D08" w:rsidRDefault="00E46702" w:rsidP="00E46702">
            <w:pPr>
              <w:rPr>
                <w:rFonts w:hAnsi="標楷體"/>
                <w:b/>
                <w:color w:val="000000" w:themeColor="text1"/>
                <w:sz w:val="24"/>
                <w:szCs w:val="24"/>
                <w:u w:val="single"/>
              </w:rPr>
            </w:pPr>
            <w:r w:rsidRPr="00065D08">
              <w:rPr>
                <w:rFonts w:hAnsi="標楷體" w:hint="eastAsia"/>
                <w:color w:val="000000" w:themeColor="text1"/>
                <w:sz w:val="24"/>
                <w:szCs w:val="24"/>
              </w:rPr>
              <w:t>一、</w:t>
            </w:r>
            <w:r w:rsidRPr="00065D08">
              <w:rPr>
                <w:rFonts w:hAnsi="標楷體" w:hint="eastAsia"/>
                <w:b/>
                <w:color w:val="000000" w:themeColor="text1"/>
                <w:sz w:val="24"/>
                <w:szCs w:val="24"/>
                <w:u w:val="single"/>
              </w:rPr>
              <w:t>核交、交查案件</w:t>
            </w:r>
            <w:r w:rsidRPr="00065D08">
              <w:rPr>
                <w:rFonts w:hAnsi="標楷體" w:hint="eastAsia"/>
                <w:b/>
                <w:color w:val="000000" w:themeColor="text1"/>
                <w:sz w:val="24"/>
                <w:szCs w:val="24"/>
              </w:rPr>
              <w:t>。</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二、</w:t>
            </w:r>
            <w:r w:rsidRPr="00065D08">
              <w:rPr>
                <w:rFonts w:hAnsi="標楷體" w:hint="eastAsia"/>
                <w:b/>
                <w:color w:val="000000" w:themeColor="text1"/>
                <w:sz w:val="24"/>
                <w:szCs w:val="24"/>
                <w:u w:val="single"/>
              </w:rPr>
              <w:t>犯罪被害人保護法相關案件</w:t>
            </w:r>
            <w:r w:rsidRPr="00065D08">
              <w:rPr>
                <w:rFonts w:hAnsi="標楷體" w:hint="eastAsia"/>
                <w:b/>
                <w:color w:val="000000" w:themeColor="text1"/>
                <w:sz w:val="24"/>
                <w:szCs w:val="24"/>
              </w:rPr>
              <w:t>。</w:t>
            </w:r>
          </w:p>
        </w:tc>
      </w:tr>
      <w:tr w:rsidR="00065D08" w:rsidRPr="00065D08" w:rsidTr="003D16ED">
        <w:tc>
          <w:tcPr>
            <w:tcW w:w="704"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臺灣宜蘭地方法院檢察署</w:t>
            </w:r>
          </w:p>
        </w:tc>
        <w:tc>
          <w:tcPr>
            <w:tcW w:w="4296"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該署檢察事務官之運用係採1名檢察事務官對應2至3名檢察官之方式，若</w:t>
            </w:r>
            <w:r w:rsidRPr="00065D08">
              <w:rPr>
                <w:rFonts w:hAnsi="標楷體" w:hint="eastAsia"/>
                <w:b/>
                <w:color w:val="000000" w:themeColor="text1"/>
                <w:sz w:val="24"/>
                <w:szCs w:val="24"/>
                <w:u w:val="single"/>
              </w:rPr>
              <w:t>檢察官承辦之具體案件屬該分配要點第4點第5款之規定範疇，即由對應檢察官</w:t>
            </w:r>
            <w:r w:rsidR="00ED768A" w:rsidRPr="00065D08">
              <w:rPr>
                <w:rFonts w:hAnsi="標楷體" w:hint="eastAsia"/>
                <w:b/>
                <w:color w:val="000000" w:themeColor="text1"/>
                <w:sz w:val="24"/>
                <w:szCs w:val="24"/>
                <w:u w:val="single"/>
              </w:rPr>
              <w:t>交與</w:t>
            </w:r>
            <w:r w:rsidRPr="00065D08">
              <w:rPr>
                <w:rFonts w:hAnsi="標楷體" w:hint="eastAsia"/>
                <w:b/>
                <w:color w:val="000000" w:themeColor="text1"/>
                <w:sz w:val="24"/>
                <w:szCs w:val="24"/>
                <w:u w:val="single"/>
              </w:rPr>
              <w:t>對應之檢察事務官辦理</w:t>
            </w:r>
            <w:r w:rsidRPr="00065D08">
              <w:rPr>
                <w:rFonts w:hAnsi="標楷體" w:hint="eastAsia"/>
                <w:color w:val="000000" w:themeColor="text1"/>
                <w:sz w:val="24"/>
                <w:szCs w:val="24"/>
              </w:rPr>
              <w:t>，惟該署對於檢察官交辦之案件數量定有上限。</w:t>
            </w:r>
          </w:p>
        </w:tc>
      </w:tr>
      <w:tr w:rsidR="00065D08" w:rsidRPr="00065D08" w:rsidTr="003D16ED">
        <w:tc>
          <w:tcPr>
            <w:tcW w:w="704"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臺灣基隆地方法院</w:t>
            </w:r>
            <w:r w:rsidRPr="00065D08">
              <w:rPr>
                <w:rFonts w:hAnsi="標楷體" w:hint="eastAsia"/>
                <w:color w:val="000000" w:themeColor="text1"/>
                <w:sz w:val="24"/>
                <w:szCs w:val="24"/>
              </w:rPr>
              <w:lastRenderedPageBreak/>
              <w:t>檢察署</w:t>
            </w:r>
          </w:p>
        </w:tc>
        <w:tc>
          <w:tcPr>
            <w:tcW w:w="4296" w:type="pct"/>
          </w:tcPr>
          <w:p w:rsidR="00E46702" w:rsidRPr="00065D08" w:rsidRDefault="00E46702" w:rsidP="00E46702">
            <w:pPr>
              <w:ind w:left="520" w:hangingChars="200" w:hanging="520"/>
              <w:rPr>
                <w:rFonts w:hAnsi="標楷體"/>
                <w:color w:val="000000" w:themeColor="text1"/>
                <w:sz w:val="24"/>
                <w:szCs w:val="24"/>
              </w:rPr>
            </w:pPr>
            <w:r w:rsidRPr="00065D08">
              <w:rPr>
                <w:rFonts w:hAnsi="標楷體" w:hint="eastAsia"/>
                <w:color w:val="000000" w:themeColor="text1"/>
                <w:sz w:val="24"/>
                <w:szCs w:val="24"/>
              </w:rPr>
              <w:lastRenderedPageBreak/>
              <w:t>一、因毒品案件為毒品資料庫之資料來源，而該署全體檢察事務官均投入毒品資料庫之充實及相關資料之輸入與彙整，故該署</w:t>
            </w:r>
            <w:r w:rsidRPr="00065D08">
              <w:rPr>
                <w:rFonts w:hAnsi="標楷體" w:hint="eastAsia"/>
                <w:b/>
                <w:color w:val="000000" w:themeColor="text1"/>
                <w:sz w:val="24"/>
                <w:szCs w:val="24"/>
                <w:u w:val="single"/>
              </w:rPr>
              <w:t>施</w:t>
            </w:r>
            <w:r w:rsidRPr="00065D08">
              <w:rPr>
                <w:rFonts w:hAnsi="標楷體" w:hint="eastAsia"/>
                <w:b/>
                <w:color w:val="000000" w:themeColor="text1"/>
                <w:sz w:val="24"/>
                <w:szCs w:val="24"/>
                <w:u w:val="single"/>
              </w:rPr>
              <w:lastRenderedPageBreak/>
              <w:t>用毒品案件</w:t>
            </w:r>
            <w:r w:rsidRPr="00065D08">
              <w:rPr>
                <w:rFonts w:hAnsi="標楷體" w:hint="eastAsia"/>
                <w:color w:val="000000" w:themeColor="text1"/>
                <w:sz w:val="24"/>
                <w:szCs w:val="24"/>
              </w:rPr>
              <w:t>，均由檢察事務官進行初步分析。</w:t>
            </w:r>
          </w:p>
          <w:p w:rsidR="00E46702" w:rsidRPr="00065D08" w:rsidRDefault="00E46702" w:rsidP="00E46702">
            <w:pPr>
              <w:ind w:left="520" w:hangingChars="200" w:hanging="520"/>
              <w:rPr>
                <w:rFonts w:hAnsi="標楷體"/>
                <w:color w:val="000000" w:themeColor="text1"/>
                <w:sz w:val="24"/>
                <w:szCs w:val="24"/>
              </w:rPr>
            </w:pPr>
            <w:r w:rsidRPr="00065D08">
              <w:rPr>
                <w:rFonts w:hAnsi="標楷體" w:hint="eastAsia"/>
                <w:color w:val="000000" w:themeColor="text1"/>
                <w:sz w:val="24"/>
                <w:szCs w:val="24"/>
              </w:rPr>
              <w:t>二、檢察官交辦事項：整理犯罪事實、結合實務及法律意見分析卷證資料、截取電子影像為照片畫面、輔助值勤檢察官並接受指派任務(如協助整理申告案件之內容)。</w:t>
            </w:r>
          </w:p>
        </w:tc>
      </w:tr>
      <w:tr w:rsidR="00065D08" w:rsidRPr="00065D08" w:rsidTr="003D16ED">
        <w:tc>
          <w:tcPr>
            <w:tcW w:w="704"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lastRenderedPageBreak/>
              <w:t>臺灣澎湖地方法院檢察署</w:t>
            </w:r>
          </w:p>
        </w:tc>
        <w:tc>
          <w:tcPr>
            <w:tcW w:w="4296"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該署目前僅有1位檢察事務官在職，辦理</w:t>
            </w:r>
            <w:r w:rsidRPr="00065D08">
              <w:rPr>
                <w:rFonts w:hAnsi="標楷體" w:hint="eastAsia"/>
                <w:b/>
                <w:color w:val="000000" w:themeColor="text1"/>
                <w:sz w:val="24"/>
                <w:szCs w:val="24"/>
                <w:u w:val="single"/>
              </w:rPr>
              <w:t>施用毒品、補審、求償案件、內勤申告及擔任檢察官所提當選無效訴訟之代理人</w:t>
            </w:r>
            <w:r w:rsidRPr="00065D08">
              <w:rPr>
                <w:rFonts w:hAnsi="標楷體" w:hint="eastAsia"/>
                <w:color w:val="000000" w:themeColor="text1"/>
                <w:sz w:val="24"/>
                <w:szCs w:val="24"/>
              </w:rPr>
              <w:t>，以及檢察官交辦偵、他案件之勘驗、調查證據及整理擬作書類附表等事務，分核交、交查字號辦理，交辦案件無案由之限制。</w:t>
            </w:r>
          </w:p>
        </w:tc>
      </w:tr>
      <w:tr w:rsidR="00065D08" w:rsidRPr="00065D08" w:rsidTr="003D16ED">
        <w:tc>
          <w:tcPr>
            <w:tcW w:w="704"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臺灣金門地方法院檢察署</w:t>
            </w:r>
          </w:p>
        </w:tc>
        <w:tc>
          <w:tcPr>
            <w:tcW w:w="4296"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該署檢察事務官除辦理「地方法院檢察署檢察事務官事務分配要點」第4點第5款第1至第5目所列案件類型外，另辦理下列「例行性事務」：</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一、參加</w:t>
            </w:r>
            <w:r w:rsidRPr="00065D08">
              <w:rPr>
                <w:rFonts w:hAnsi="標楷體" w:hint="eastAsia"/>
                <w:b/>
                <w:color w:val="000000" w:themeColor="text1"/>
                <w:sz w:val="24"/>
                <w:szCs w:val="24"/>
                <w:u w:val="single"/>
              </w:rPr>
              <w:t>金門地區公務機關所召開之一般性會議</w:t>
            </w:r>
            <w:r w:rsidRPr="00065D08">
              <w:rPr>
                <w:rFonts w:hAnsi="標楷體" w:hint="eastAsia"/>
                <w:color w:val="000000" w:themeColor="text1"/>
                <w:sz w:val="24"/>
                <w:szCs w:val="24"/>
              </w:rPr>
              <w:t>。</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二、擔任</w:t>
            </w:r>
            <w:r w:rsidRPr="00065D08">
              <w:rPr>
                <w:rFonts w:hAnsi="標楷體" w:hint="eastAsia"/>
                <w:b/>
                <w:color w:val="000000" w:themeColor="text1"/>
                <w:sz w:val="24"/>
                <w:szCs w:val="24"/>
                <w:u w:val="single"/>
              </w:rPr>
              <w:t>法治教育宣導講座</w:t>
            </w:r>
            <w:r w:rsidRPr="00065D08">
              <w:rPr>
                <w:rFonts w:hAnsi="標楷體" w:hint="eastAsia"/>
                <w:color w:val="000000" w:themeColor="text1"/>
                <w:sz w:val="24"/>
                <w:szCs w:val="24"/>
              </w:rPr>
              <w:t>。</w:t>
            </w:r>
          </w:p>
        </w:tc>
      </w:tr>
      <w:tr w:rsidR="00065D08" w:rsidRPr="00065D08" w:rsidTr="003D16ED">
        <w:tc>
          <w:tcPr>
            <w:tcW w:w="704"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臺灣連江地方法院檢察署</w:t>
            </w:r>
          </w:p>
        </w:tc>
        <w:tc>
          <w:tcPr>
            <w:tcW w:w="4296"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由於該署無檢察事務官員額編制，故無法就監察院調查事項作說明。</w:t>
            </w:r>
          </w:p>
        </w:tc>
      </w:tr>
    </w:tbl>
    <w:p w:rsidR="00E46702" w:rsidRPr="00065D08" w:rsidRDefault="00E46702" w:rsidP="00E46702">
      <w:pPr>
        <w:ind w:left="-142"/>
        <w:outlineLvl w:val="2"/>
        <w:rPr>
          <w:rFonts w:hAnsi="Arial"/>
          <w:bCs/>
          <w:color w:val="000000" w:themeColor="text1"/>
          <w:kern w:val="32"/>
          <w:sz w:val="22"/>
          <w:szCs w:val="36"/>
        </w:rPr>
      </w:pPr>
      <w:r w:rsidRPr="00065D08">
        <w:rPr>
          <w:rFonts w:hAnsi="Arial" w:hint="eastAsia"/>
          <w:bCs/>
          <w:color w:val="000000" w:themeColor="text1"/>
          <w:kern w:val="32"/>
          <w:sz w:val="20"/>
          <w:szCs w:val="36"/>
        </w:rPr>
        <w:t>資料來源：依法務部查復資料整理</w:t>
      </w:r>
      <w:r w:rsidRPr="00065D08">
        <w:rPr>
          <w:rFonts w:hAnsi="Arial" w:hint="eastAsia"/>
          <w:bCs/>
          <w:color w:val="000000" w:themeColor="text1"/>
          <w:kern w:val="32"/>
          <w:sz w:val="22"/>
          <w:szCs w:val="36"/>
        </w:rPr>
        <w:t>。</w:t>
      </w:r>
    </w:p>
    <w:p w:rsidR="00E46702" w:rsidRPr="00065D08" w:rsidRDefault="00E46702" w:rsidP="00E46702">
      <w:pPr>
        <w:ind w:left="-142"/>
        <w:outlineLvl w:val="2"/>
        <w:rPr>
          <w:rFonts w:hAnsi="Arial"/>
          <w:bCs/>
          <w:color w:val="000000" w:themeColor="text1"/>
          <w:kern w:val="32"/>
          <w:sz w:val="22"/>
          <w:szCs w:val="36"/>
        </w:rPr>
      </w:pPr>
    </w:p>
    <w:p w:rsidR="00E46702" w:rsidRPr="00065D08" w:rsidRDefault="00E46702" w:rsidP="00E46702">
      <w:pPr>
        <w:numPr>
          <w:ilvl w:val="2"/>
          <w:numId w:val="26"/>
        </w:numPr>
        <w:ind w:left="1360" w:hanging="680"/>
        <w:outlineLvl w:val="2"/>
        <w:rPr>
          <w:rFonts w:hAnsi="Arial"/>
          <w:bCs/>
          <w:color w:val="000000" w:themeColor="text1"/>
          <w:kern w:val="32"/>
          <w:szCs w:val="36"/>
        </w:rPr>
      </w:pPr>
      <w:r w:rsidRPr="00065D08">
        <w:rPr>
          <w:rFonts w:hAnsi="Arial" w:hint="eastAsia"/>
          <w:bCs/>
          <w:color w:val="000000" w:themeColor="text1"/>
          <w:kern w:val="32"/>
          <w:szCs w:val="36"/>
        </w:rPr>
        <w:t>又以法務部查復有關臺灣雲林地方法院檢察署運用檢察事務官之模式為例，該署將刑事簡易案件</w:t>
      </w:r>
      <w:r w:rsidRPr="00065D08">
        <w:rPr>
          <w:rFonts w:hAnsi="Arial" w:hint="eastAsia"/>
          <w:bCs/>
          <w:color w:val="000000" w:themeColor="text1"/>
          <w:kern w:val="32"/>
          <w:sz w:val="28"/>
          <w:szCs w:val="36"/>
        </w:rPr>
        <w:t>（即施用毒品、人頭帳戶電話詐欺、兒少性交易防制條例、竊盜坦承、妨害兵役、電子遊戲場業管理條例、六合彩、職棒簽賭、公眾場所賭博、傷害及毀損撤回告訴等）</w:t>
      </w:r>
      <w:r w:rsidRPr="00065D08">
        <w:rPr>
          <w:rFonts w:hAnsi="Arial" w:hint="eastAsia"/>
          <w:bCs/>
          <w:color w:val="000000" w:themeColor="text1"/>
          <w:kern w:val="32"/>
          <w:szCs w:val="36"/>
        </w:rPr>
        <w:t>送經負責之主任檢察官審核後，逕輪分交由各虛擬股檢察事務官辦理，</w:t>
      </w:r>
      <w:r w:rsidRPr="00065D08">
        <w:rPr>
          <w:rFonts w:hAnsi="Arial" w:hint="eastAsia"/>
          <w:bCs/>
          <w:color w:val="000000" w:themeColor="text1"/>
          <w:kern w:val="32"/>
          <w:szCs w:val="36"/>
          <w:u w:val="single"/>
        </w:rPr>
        <w:t>檢察事務官於收案後，自行負責偵查並結案</w:t>
      </w:r>
      <w:r w:rsidRPr="00065D08">
        <w:rPr>
          <w:rFonts w:hAnsi="Arial" w:hint="eastAsia"/>
          <w:bCs/>
          <w:color w:val="000000" w:themeColor="text1"/>
          <w:kern w:val="32"/>
          <w:szCs w:val="36"/>
        </w:rPr>
        <w:t>，於完成結案書類後，送配置該股之主任檢察官審核，再陳請檢察長核閱。且就告訴人自行或具狀告發之假性財產犯罪案件，若負責審核發查案件之主任檢察官認宜逕行交由檢察事務官辦理者，亦得直接簽出發交檢察事務官輪分，</w:t>
      </w:r>
      <w:r w:rsidRPr="00065D08">
        <w:rPr>
          <w:rFonts w:hAnsi="Arial" w:hint="eastAsia"/>
          <w:bCs/>
          <w:color w:val="000000" w:themeColor="text1"/>
          <w:kern w:val="32"/>
          <w:szCs w:val="36"/>
          <w:u w:val="single"/>
        </w:rPr>
        <w:t>由受理之檢察事務官自行負責偵查及結案</w:t>
      </w:r>
      <w:r w:rsidRPr="00065D08">
        <w:rPr>
          <w:rFonts w:hAnsi="Arial" w:hint="eastAsia"/>
          <w:bCs/>
          <w:color w:val="000000" w:themeColor="text1"/>
          <w:kern w:val="32"/>
          <w:szCs w:val="36"/>
        </w:rPr>
        <w:t>。</w:t>
      </w:r>
    </w:p>
    <w:p w:rsidR="00E46702" w:rsidRPr="00065D08" w:rsidRDefault="00E46702" w:rsidP="00E46702">
      <w:pPr>
        <w:numPr>
          <w:ilvl w:val="2"/>
          <w:numId w:val="26"/>
        </w:numPr>
        <w:ind w:left="1360" w:hanging="680"/>
        <w:outlineLvl w:val="2"/>
        <w:rPr>
          <w:rFonts w:hAnsi="Arial"/>
          <w:bCs/>
          <w:color w:val="000000" w:themeColor="text1"/>
          <w:kern w:val="32"/>
          <w:szCs w:val="36"/>
        </w:rPr>
      </w:pPr>
      <w:r w:rsidRPr="00065D08">
        <w:rPr>
          <w:rFonts w:hAnsi="Arial" w:hint="eastAsia"/>
          <w:bCs/>
          <w:color w:val="000000" w:themeColor="text1"/>
          <w:kern w:val="32"/>
          <w:szCs w:val="36"/>
        </w:rPr>
        <w:t>再依法院組織法第66條之3規定，檢察事務官得受檢察官指揮下實施搜索、扣押、勘驗或執行拘提，及詢問告訴人、告發人、被告、證人或鑑定人，因而</w:t>
      </w:r>
      <w:r w:rsidRPr="00065D08">
        <w:rPr>
          <w:rFonts w:hAnsi="Arial" w:hint="eastAsia"/>
          <w:bCs/>
          <w:color w:val="000000" w:themeColor="text1"/>
          <w:kern w:val="32"/>
          <w:szCs w:val="36"/>
        </w:rPr>
        <w:lastRenderedPageBreak/>
        <w:t>實際與被告及案件關係人接觸。</w:t>
      </w:r>
    </w:p>
    <w:p w:rsidR="00E46702" w:rsidRPr="00065D08" w:rsidRDefault="00E46702" w:rsidP="00E46702">
      <w:pPr>
        <w:numPr>
          <w:ilvl w:val="2"/>
          <w:numId w:val="26"/>
        </w:numPr>
        <w:ind w:left="1360" w:hanging="680"/>
        <w:outlineLvl w:val="2"/>
        <w:rPr>
          <w:rFonts w:hAnsi="Arial"/>
          <w:bCs/>
          <w:color w:val="000000" w:themeColor="text1"/>
          <w:kern w:val="32"/>
          <w:szCs w:val="36"/>
        </w:rPr>
      </w:pPr>
      <w:r w:rsidRPr="00065D08">
        <w:rPr>
          <w:rFonts w:hAnsi="Arial" w:hint="eastAsia"/>
          <w:bCs/>
          <w:color w:val="000000" w:themeColor="text1"/>
          <w:kern w:val="32"/>
          <w:szCs w:val="36"/>
        </w:rPr>
        <w:t>由上揭說明可知，特定偵查中刑事案件，現行體制下容許檢察事務官實質上進行偵查、詢問，並以「卷證分析報告」作成相關檢察書類初稿，而檢察官淪為背後監督、核章之角色，竟使檢察事務官跳脫偵查輔助機關本質，而居於類似偵查主體地位。</w:t>
      </w:r>
    </w:p>
    <w:p w:rsidR="00E46702" w:rsidRPr="00065D08" w:rsidRDefault="00E46702" w:rsidP="00E46702">
      <w:pPr>
        <w:numPr>
          <w:ilvl w:val="2"/>
          <w:numId w:val="26"/>
        </w:numPr>
        <w:ind w:left="1360" w:hanging="680"/>
        <w:outlineLvl w:val="2"/>
        <w:rPr>
          <w:rFonts w:hAnsi="Arial"/>
          <w:bCs/>
          <w:color w:val="000000" w:themeColor="text1"/>
          <w:kern w:val="32"/>
          <w:szCs w:val="36"/>
        </w:rPr>
      </w:pPr>
      <w:r w:rsidRPr="00065D08">
        <w:rPr>
          <w:rFonts w:hAnsi="Arial" w:hint="eastAsia"/>
          <w:bCs/>
          <w:color w:val="000000" w:themeColor="text1"/>
          <w:kern w:val="32"/>
          <w:szCs w:val="36"/>
        </w:rPr>
        <w:t>88年法院組織法修正後新設檢察事務官制度，係為襄助檢察官辦理偵查事務，提升檢察機關內部偵查機能，間接促進偵查品質，具有重要之公益目的。然而，國家設官分職，各有職掌，旨在分別負責，以共同完成國家任務。犯罪偵查活動中，刑事訴訟法及相關法律規定既賦予檢察官具有犯罪偵查權限而主導犯罪偵查，具有強制處分權，並有指揮、調度司法警察的權力，明確將檢察官定位為「偵查主體」，而檢察事務官僅係受檢察官指揮而襄助檢察官實施犯罪偵查，而為「偵查輔助機關」，檢察官、檢察事務官兩者就其專業及角色定位各有不同，不容混淆。</w:t>
      </w:r>
    </w:p>
    <w:p w:rsidR="00E46702" w:rsidRPr="00065D08" w:rsidRDefault="00E46702" w:rsidP="00E46702">
      <w:pPr>
        <w:numPr>
          <w:ilvl w:val="2"/>
          <w:numId w:val="26"/>
        </w:numPr>
        <w:outlineLvl w:val="2"/>
        <w:rPr>
          <w:rFonts w:hAnsi="Arial"/>
          <w:bCs/>
          <w:color w:val="000000" w:themeColor="text1"/>
          <w:kern w:val="32"/>
          <w:szCs w:val="36"/>
        </w:rPr>
      </w:pPr>
      <w:r w:rsidRPr="00065D08">
        <w:rPr>
          <w:rFonts w:hAnsi="Arial" w:hint="eastAsia"/>
          <w:bCs/>
          <w:color w:val="000000" w:themeColor="text1"/>
          <w:kern w:val="32"/>
          <w:szCs w:val="36"/>
        </w:rPr>
        <w:t>是以，檢察官依法院組織法第60條之規定，有「實施偵查、提起公訴、實行公訴、協助自訴、擔當自訴、指揮刑事裁判之執行及執行其他法令所定職務」之權限，又依同法第66條之3規定：「檢察事務官受檢察官之指揮，處理下列事務：一、實施搜索、扣押、勘驗或執行拘提。二、詢問告訴人、告發人、被告、證人或鑑定人。三襄助檢察官執行其他第60條所定之職權。檢察事務官處理前項前二款事務，視為為刑事訴訟法第230條第1項之司法警察官」，是依上述規定觀之，檢察事務官在受檢察官指揮實施搜索、扣押、勘驗或執行拘提，及詢問告訴人、告發人、被告、證人或鑑定人時，視為刑事訴訟法</w:t>
      </w:r>
      <w:r w:rsidRPr="00065D08">
        <w:rPr>
          <w:rFonts w:hAnsi="Arial" w:hint="eastAsia"/>
          <w:bCs/>
          <w:color w:val="000000" w:themeColor="text1"/>
          <w:kern w:val="32"/>
          <w:szCs w:val="36"/>
        </w:rPr>
        <w:lastRenderedPageBreak/>
        <w:t>第230條第1項之司法警察官；若檢察事務官受檢察官指揮，「襄助」檢察官實施偵查、提起公訴、實行公訴、協助自訴、擔當自訴、指揮刑事裁判執行及執行其他法令所定職務時，顯係基於檢察官之手足地位，實施刑事訴訟法賦予檢察官之權限（臺灣高等法院94年交上易字第162號刑事判決參照）。</w:t>
      </w:r>
    </w:p>
    <w:p w:rsidR="00E46702" w:rsidRPr="00065D08" w:rsidRDefault="00E46702" w:rsidP="00E46702">
      <w:pPr>
        <w:numPr>
          <w:ilvl w:val="2"/>
          <w:numId w:val="26"/>
        </w:numPr>
        <w:ind w:left="1360" w:hanging="680"/>
        <w:outlineLvl w:val="2"/>
        <w:rPr>
          <w:rFonts w:hAnsi="Arial"/>
          <w:bCs/>
          <w:color w:val="000000" w:themeColor="text1"/>
          <w:kern w:val="32"/>
          <w:szCs w:val="36"/>
        </w:rPr>
      </w:pPr>
      <w:r w:rsidRPr="00065D08">
        <w:rPr>
          <w:rFonts w:hAnsi="Arial" w:hint="eastAsia"/>
          <w:bCs/>
          <w:color w:val="000000" w:themeColor="text1"/>
          <w:kern w:val="32"/>
          <w:szCs w:val="36"/>
        </w:rPr>
        <w:t>倘體制運作結果容許檢察事務官於個案中得獨立完成所有實質偵查作為，僅於形式上由檢察官簽名蓋章，或加載「本案由檢察官之指揮」等字眼，彷彿案件是由檢察官所完成，實已逸脫原制度設置目的。況且，姑不論檢察事務官之法學專業與職前訓練強度，均不如檢察官，其薪資未達檢察官薪資8成（且職級越高薪資成數越低</w:t>
      </w:r>
      <w:r w:rsidRPr="00065D08">
        <w:rPr>
          <w:rFonts w:hAnsi="Arial"/>
          <w:bCs/>
          <w:color w:val="000000" w:themeColor="text1"/>
          <w:kern w:val="32"/>
          <w:szCs w:val="36"/>
          <w:vertAlign w:val="superscript"/>
        </w:rPr>
        <w:footnoteReference w:id="4"/>
      </w:r>
      <w:r w:rsidRPr="00065D08">
        <w:rPr>
          <w:rFonts w:hAnsi="Arial" w:hint="eastAsia"/>
          <w:bCs/>
          <w:color w:val="000000" w:themeColor="text1"/>
          <w:kern w:val="32"/>
          <w:szCs w:val="36"/>
        </w:rPr>
        <w:t>）之現況，比諸其他專業領域，因人命關天，法律尚且要求醫師非經親自診療，不得施行治療</w:t>
      </w:r>
      <w:r w:rsidRPr="00065D08">
        <w:rPr>
          <w:rFonts w:hAnsi="Arial"/>
          <w:bCs/>
          <w:color w:val="000000" w:themeColor="text1"/>
          <w:kern w:val="32"/>
          <w:szCs w:val="36"/>
          <w:vertAlign w:val="superscript"/>
        </w:rPr>
        <w:footnoteReference w:id="5"/>
      </w:r>
      <w:r w:rsidRPr="00065D08">
        <w:rPr>
          <w:rFonts w:hAnsi="Arial" w:hint="eastAsia"/>
          <w:bCs/>
          <w:color w:val="000000" w:themeColor="text1"/>
          <w:kern w:val="32"/>
          <w:szCs w:val="36"/>
        </w:rPr>
        <w:t>；即使同為司法領域，基於人權至上，「直接審理原則」亦要求法官須親自見聞以形成心證；則檢察體系容許他人代替檢察官調查案件，自屬不得已情形下之非常手段，理當從嚴檢視相關法規，避免積非成是，將此例外情形當作原則。</w:t>
      </w:r>
    </w:p>
    <w:p w:rsidR="00E46702" w:rsidRPr="00065D08" w:rsidRDefault="00E46702" w:rsidP="00E46702">
      <w:pPr>
        <w:numPr>
          <w:ilvl w:val="2"/>
          <w:numId w:val="26"/>
        </w:numPr>
        <w:ind w:left="1360" w:hanging="680"/>
        <w:outlineLvl w:val="2"/>
        <w:rPr>
          <w:rFonts w:hAnsi="Arial"/>
          <w:bCs/>
          <w:color w:val="000000" w:themeColor="text1"/>
          <w:kern w:val="32"/>
          <w:szCs w:val="36"/>
        </w:rPr>
      </w:pPr>
      <w:r w:rsidRPr="00065D08">
        <w:rPr>
          <w:rFonts w:hAnsi="Arial" w:hint="eastAsia"/>
          <w:bCs/>
          <w:color w:val="000000" w:themeColor="text1"/>
          <w:kern w:val="32"/>
          <w:szCs w:val="36"/>
        </w:rPr>
        <w:t>縱因刑事案件龐雜，檢察官分身乏術，須檢察事務官襄助，然該要點並未就檢察官得</w:t>
      </w:r>
      <w:r w:rsidR="00ED768A" w:rsidRPr="00065D08">
        <w:rPr>
          <w:rFonts w:hAnsi="Arial" w:hint="eastAsia"/>
          <w:bCs/>
          <w:color w:val="000000" w:themeColor="text1"/>
          <w:kern w:val="32"/>
          <w:szCs w:val="36"/>
        </w:rPr>
        <w:t>交與</w:t>
      </w:r>
      <w:r w:rsidRPr="00065D08">
        <w:rPr>
          <w:rFonts w:hAnsi="Arial" w:hint="eastAsia"/>
          <w:bCs/>
          <w:color w:val="000000" w:themeColor="text1"/>
          <w:kern w:val="32"/>
          <w:szCs w:val="36"/>
        </w:rPr>
        <w:t>檢察事務官辦理之案件數量設定上限，且就「例行性</w:t>
      </w:r>
      <w:r w:rsidR="00DF4146" w:rsidRPr="00065D08">
        <w:rPr>
          <w:rFonts w:hAnsi="Arial" w:hint="eastAsia"/>
          <w:bCs/>
          <w:color w:val="000000" w:themeColor="text1"/>
          <w:kern w:val="32"/>
          <w:szCs w:val="36"/>
        </w:rPr>
        <w:t>事務</w:t>
      </w:r>
      <w:r w:rsidRPr="00065D08">
        <w:rPr>
          <w:rFonts w:hAnsi="Arial" w:hint="eastAsia"/>
          <w:bCs/>
          <w:color w:val="000000" w:themeColor="text1"/>
          <w:kern w:val="32"/>
          <w:szCs w:val="36"/>
        </w:rPr>
        <w:t>」之意涵規範模糊；而卷證分析報告，依本院逐案檢視徐仕瑋辦案情形可知，實務上作法並未限於單純案卷資料整理或證據分析，而可由檢察事務官完成該檢察書類實質內容後，由檢察官蓋印即輕易轉製成</w:t>
      </w:r>
      <w:r w:rsidRPr="00065D08">
        <w:rPr>
          <w:rFonts w:hAnsi="Arial" w:hint="eastAsia"/>
          <w:bCs/>
          <w:color w:val="000000" w:themeColor="text1"/>
          <w:kern w:val="32"/>
          <w:szCs w:val="36"/>
        </w:rPr>
        <w:lastRenderedPageBreak/>
        <w:t>檢察書類，此等法規闕漏與實務現象，均指向法務部放任檢察官系統將不在少數之刑事案件交給檢察事務官系統偵結，而未能有效設置法規閘門，節制檢察官濫權指揮檢察事務官，實非妥適。</w:t>
      </w:r>
    </w:p>
    <w:p w:rsidR="00E46702" w:rsidRPr="00065D08" w:rsidRDefault="00E46702" w:rsidP="00A077B6">
      <w:pPr>
        <w:pStyle w:val="3"/>
        <w:rPr>
          <w:b/>
          <w:color w:val="000000" w:themeColor="text1"/>
        </w:rPr>
      </w:pPr>
      <w:r w:rsidRPr="00065D08">
        <w:rPr>
          <w:rFonts w:hint="eastAsia"/>
          <w:color w:val="000000" w:themeColor="text1"/>
        </w:rPr>
        <w:t>綜上，</w:t>
      </w:r>
      <w:r w:rsidR="008B7E66" w:rsidRPr="00065D08">
        <w:rPr>
          <w:rFonts w:hint="eastAsia"/>
          <w:color w:val="000000" w:themeColor="text1"/>
        </w:rPr>
        <w:t>法務部訂頒「地方法院檢察署檢察事務官事務分配要點」之第4點，雖明確規範須由檢察官親自處理事項，但法務部105年4月15日法人字第10500547320號函復本院稱同點第1款規定，檢察事務官製作之「卷證分析報告」，若檢察官指揮檢察事務官以起訴書、聲請簡易判決處刑書、緩起訴處分書、不起訴處分書或他字案簽結公文等結案書類格式擬具「卷證分析報告」，亦與上開要點規定無違等語。依此說法，則「卷證分析報告」與檢察官結案書類實質等同，幾可認定。且同點第5款「例行性事務」內涵，係委由各地檢署因地制宜訂定事務類型，形同將偵查中某特定類型案件，明定容許檢察事務官實施偵查、提起公訴等作為，臺灣雲林地方法院檢察署甚至明定部分「例行性事務」案件檢察事務官收案後，得自行負責偵查並結案，實質造成檢察官只剩下蓋章功能。上述情事均與法院組織法設置檢察事務官制度目的有違，核有嚴重違失。</w:t>
      </w:r>
    </w:p>
    <w:p w:rsidR="00250580" w:rsidRPr="00065D08" w:rsidRDefault="00250580" w:rsidP="00250580">
      <w:pPr>
        <w:pStyle w:val="2"/>
        <w:rPr>
          <w:color w:val="000000" w:themeColor="text1"/>
        </w:rPr>
      </w:pPr>
      <w:r w:rsidRPr="00065D08">
        <w:rPr>
          <w:rFonts w:hint="eastAsia"/>
          <w:color w:val="000000" w:themeColor="text1"/>
        </w:rPr>
        <w:t>檢察事務官原依法院組織法第66條之3係「襄助」檢察官職務，並視為「司法警察官」，然臺北地檢署未明確規範檢察事務官辦理案件類型及數量限制，放任檢察官可無上限地將案件交與檢察事務官辦理，作為清理積案方法，已有不妥；復就徐仕瑋檢察官交與檢察事務官辦理之案件，該署之各層級監督體系未能確實管控辦案品質，且未落實被告偵訊階段之訴訟權益保護，實有怠察之失。在個別檢察官積案過多時，該</w:t>
      </w:r>
      <w:r w:rsidRPr="00065D08">
        <w:rPr>
          <w:rFonts w:hint="eastAsia"/>
          <w:color w:val="000000" w:themeColor="text1"/>
        </w:rPr>
        <w:lastRenderedPageBreak/>
        <w:t>署檢察首長未依法官法第93條第1項第2款、第94條等規定，行使相關之指揮監督權，竟任由積案過多之檢察官將大量案件交與檢察事務官辦理，致使檢察事務官成為檢察官之分身，實際代行檢察官偵查職權，進而由檢察事務官製作「卷證分析報告」使檢察官得輕易轉製成檢察書類報結，核有嚴重違失。且該署對於檢察官將大量案件交與檢察事務官辦理之情形，並未列入檢察官職務評定之考據，形同默許上開混淆職務分際之作為，對於用心辦案之檢察官</w:t>
      </w:r>
      <w:r w:rsidR="00E1576A" w:rsidRPr="00065D08">
        <w:rPr>
          <w:rFonts w:hint="eastAsia"/>
          <w:color w:val="000000" w:themeColor="text1"/>
        </w:rPr>
        <w:t>實</w:t>
      </w:r>
      <w:r w:rsidRPr="00065D08">
        <w:rPr>
          <w:rFonts w:hint="eastAsia"/>
          <w:color w:val="000000" w:themeColor="text1"/>
        </w:rPr>
        <w:t>不公平，亦應檢討改進。</w:t>
      </w:r>
    </w:p>
    <w:p w:rsidR="00E46702" w:rsidRPr="00065D08" w:rsidRDefault="00E46702" w:rsidP="00C630E3">
      <w:pPr>
        <w:numPr>
          <w:ilvl w:val="2"/>
          <w:numId w:val="39"/>
        </w:numPr>
        <w:outlineLvl w:val="1"/>
        <w:rPr>
          <w:color w:val="000000" w:themeColor="text1"/>
        </w:rPr>
      </w:pPr>
      <w:r w:rsidRPr="00065D08">
        <w:rPr>
          <w:rFonts w:hint="eastAsia"/>
          <w:color w:val="000000" w:themeColor="text1"/>
        </w:rPr>
        <w:t>法院組織法第60條：「檢察官之職權如左：一、實施偵查、提起公訴、實行公訴、協助自訴、擔當自訴及指揮刑事裁判之執行。二、其他法令所定職務之執行。」次按法院組織法第66條之3規定：「（第1項）檢察事務官受檢察官之指揮，處理下列事務：一、實施搜索、扣押、勘驗或執行拘提。二、詢問告訴人、告發人、被告、證人或鑑定人。三、襄助檢察官執行其他第60條所定之職權。（第2項）檢察事務官處理前項前2款事務，視為刑事訴訟法第230條第1項之司法警察官。」檢察事務官之職權係「襄助」檢察官執行職務，其身分視為司法警察官，並非檢察官分身。</w:t>
      </w:r>
    </w:p>
    <w:p w:rsidR="00E46702" w:rsidRPr="00065D08" w:rsidRDefault="00E46702" w:rsidP="00E46702">
      <w:pPr>
        <w:numPr>
          <w:ilvl w:val="2"/>
          <w:numId w:val="26"/>
        </w:numPr>
        <w:outlineLvl w:val="2"/>
        <w:rPr>
          <w:rFonts w:hAnsi="Arial"/>
          <w:bCs/>
          <w:color w:val="000000" w:themeColor="text1"/>
          <w:kern w:val="32"/>
          <w:szCs w:val="36"/>
        </w:rPr>
      </w:pPr>
      <w:r w:rsidRPr="00065D08">
        <w:rPr>
          <w:rFonts w:hAnsi="Arial" w:hint="eastAsia"/>
          <w:bCs/>
          <w:color w:val="000000" w:themeColor="text1"/>
          <w:kern w:val="32"/>
          <w:szCs w:val="36"/>
        </w:rPr>
        <w:t>依法務部函復，臺北地檢署於檢察官得</w:t>
      </w:r>
      <w:r w:rsidR="00ED768A" w:rsidRPr="00065D08">
        <w:rPr>
          <w:rFonts w:hAnsi="Arial" w:hint="eastAsia"/>
          <w:bCs/>
          <w:color w:val="000000" w:themeColor="text1"/>
          <w:kern w:val="32"/>
          <w:szCs w:val="36"/>
        </w:rPr>
        <w:t>交與</w:t>
      </w:r>
      <w:r w:rsidRPr="00065D08">
        <w:rPr>
          <w:rFonts w:hAnsi="Arial" w:hint="eastAsia"/>
          <w:bCs/>
          <w:color w:val="000000" w:themeColor="text1"/>
          <w:kern w:val="32"/>
          <w:szCs w:val="36"/>
        </w:rPr>
        <w:t>檢察事務官辦理之案件數量，並無案件數量限制。據徐仕瑋於本院詢問時表示：「我不像其他部分檢察官一樣，會把案件『全額交割』檢事官，我不會這樣做。」、「（問：你說你不是交辦案件最多檢察官，可否說明一下你剛剛『全額交割』狀況？）北檢有2到3位檢察官有這樣狀況，但名字我不確定。據說有1位年紀稍長檢察官，就常常這樣；另1位不那麼</w:t>
      </w:r>
      <w:r w:rsidRPr="00065D08">
        <w:rPr>
          <w:rFonts w:hAnsi="Arial" w:hint="eastAsia"/>
          <w:bCs/>
          <w:color w:val="000000" w:themeColor="text1"/>
          <w:kern w:val="32"/>
          <w:szCs w:val="36"/>
        </w:rPr>
        <w:lastRenderedPageBreak/>
        <w:t>資深檢察官，也有這樣狀況。」另時任臺北地檢署檢察長蔡碧玉於本院詢問時亦表示：「檢事官作為檢察官手腳，當然要看檢察官如何運用，但我們會有監督機制。我們的確有聽過『全額交割』，就是交辦案件後，全部由檢事官進行及撰擬書稿，但有這樣檢察官，我們檢察長就會監督要求改進。檢察官如果有這樣做，雖然不會違法，但的確不妥當。」、「北檢不限制交辦量，是其傳統，但與我過去在新北地檢相比較，北檢交辦量也比較少，如果有規定交辦案件上限，可能會使檢察官認為數量限制內交辦都沒事。」據此，顯示該署雖無交辦案件數量限制，然檢察官將案件</w:t>
      </w:r>
      <w:r w:rsidR="00ED768A" w:rsidRPr="00065D08">
        <w:rPr>
          <w:rFonts w:hAnsi="Arial" w:hint="eastAsia"/>
          <w:bCs/>
          <w:color w:val="000000" w:themeColor="text1"/>
          <w:kern w:val="32"/>
          <w:szCs w:val="36"/>
        </w:rPr>
        <w:t>交與</w:t>
      </w:r>
      <w:r w:rsidRPr="00065D08">
        <w:rPr>
          <w:rFonts w:hAnsi="Arial" w:hint="eastAsia"/>
          <w:bCs/>
          <w:color w:val="000000" w:themeColor="text1"/>
          <w:kern w:val="32"/>
          <w:szCs w:val="36"/>
        </w:rPr>
        <w:t>檢察事務官辦理時，若採「全額交割」方式而全權</w:t>
      </w:r>
      <w:r w:rsidR="009F2C9A" w:rsidRPr="00065D08">
        <w:rPr>
          <w:rFonts w:hAnsi="Arial" w:hint="eastAsia"/>
          <w:bCs/>
          <w:color w:val="000000" w:themeColor="text1"/>
          <w:kern w:val="32"/>
          <w:szCs w:val="36"/>
        </w:rPr>
        <w:t>授予</w:t>
      </w:r>
      <w:r w:rsidRPr="00065D08">
        <w:rPr>
          <w:rFonts w:hAnsi="Arial" w:hint="eastAsia"/>
          <w:bCs/>
          <w:color w:val="000000" w:themeColor="text1"/>
          <w:kern w:val="32"/>
          <w:szCs w:val="36"/>
        </w:rPr>
        <w:t>檢察事務官辦理時，該署仍有監督機制加以制衡。</w:t>
      </w:r>
    </w:p>
    <w:p w:rsidR="00E46702" w:rsidRPr="00065D08" w:rsidRDefault="00E46702" w:rsidP="00251D15">
      <w:pPr>
        <w:pStyle w:val="3"/>
        <w:rPr>
          <w:color w:val="000000" w:themeColor="text1"/>
        </w:rPr>
      </w:pPr>
      <w:r w:rsidRPr="00065D08">
        <w:rPr>
          <w:rFonts w:hint="eastAsia"/>
          <w:color w:val="000000" w:themeColor="text1"/>
        </w:rPr>
        <w:t>為查證徐仕瑋辦案違失及該署監督機制內涵，本院乃調閱104年3月11日至16日間6日交辦之案件全卷資料，並逐案檢視案件進行程序有無瑕疵：</w:t>
      </w:r>
    </w:p>
    <w:p w:rsidR="00E46702" w:rsidRPr="00065D08" w:rsidRDefault="00E46702" w:rsidP="00251D15">
      <w:pPr>
        <w:pStyle w:val="4"/>
        <w:rPr>
          <w:color w:val="000000" w:themeColor="text1"/>
        </w:rPr>
      </w:pPr>
      <w:r w:rsidRPr="00065D08">
        <w:rPr>
          <w:rFonts w:hint="eastAsia"/>
          <w:color w:val="000000" w:themeColor="text1"/>
        </w:rPr>
        <w:t>此時期共有89宗</w:t>
      </w:r>
      <w:r w:rsidR="00952A14" w:rsidRPr="00065D08">
        <w:rPr>
          <w:rFonts w:hint="eastAsia"/>
          <w:color w:val="000000" w:themeColor="text1"/>
        </w:rPr>
        <w:t>案卷</w:t>
      </w:r>
      <w:r w:rsidRPr="00065D08">
        <w:rPr>
          <w:rFonts w:hint="eastAsia"/>
          <w:color w:val="000000" w:themeColor="text1"/>
        </w:rPr>
        <w:t>已歸檔並經本院調閱，依該署所定編號序為1案件計算，並將案件進行分類，其案件於分案後至完成相關檢察書類前，徐仕瑋有具體作為，或於交辦案件進行單中明確指示檢察事務官偵辦方向者，歸為1類，共計21件；而僅指引檢察事務官應製作書類而無其他作為者，歸為1類，共計59件；無法歸類者，計9件，表列如下：</w:t>
      </w:r>
    </w:p>
    <w:p w:rsidR="00E46702" w:rsidRPr="00065D08" w:rsidRDefault="00E46702" w:rsidP="00251D15">
      <w:pPr>
        <w:pStyle w:val="a3"/>
        <w:ind w:firstLine="12"/>
        <w:jc w:val="center"/>
        <w:rPr>
          <w:b/>
          <w:color w:val="000000" w:themeColor="text1"/>
        </w:rPr>
      </w:pPr>
      <w:r w:rsidRPr="00065D08">
        <w:rPr>
          <w:rFonts w:hint="eastAsia"/>
          <w:b/>
          <w:color w:val="000000" w:themeColor="text1"/>
        </w:rPr>
        <w:t>104年3月11日至16日徐仕瑋交辦案件逐案分析表</w:t>
      </w:r>
    </w:p>
    <w:tbl>
      <w:tblPr>
        <w:tblW w:w="0" w:type="auto"/>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2410"/>
        <w:gridCol w:w="2977"/>
        <w:gridCol w:w="1154"/>
      </w:tblGrid>
      <w:tr w:rsidR="00065D08" w:rsidRPr="00065D08" w:rsidTr="003D16ED">
        <w:tc>
          <w:tcPr>
            <w:tcW w:w="567" w:type="dxa"/>
          </w:tcPr>
          <w:p w:rsidR="00E46702" w:rsidRPr="00065D08" w:rsidRDefault="00E46702" w:rsidP="00E46702">
            <w:pPr>
              <w:outlineLvl w:val="3"/>
              <w:rPr>
                <w:rFonts w:hAnsi="Arial"/>
                <w:color w:val="000000" w:themeColor="text1"/>
                <w:kern w:val="32"/>
                <w:sz w:val="28"/>
                <w:szCs w:val="28"/>
              </w:rPr>
            </w:pPr>
          </w:p>
        </w:tc>
        <w:tc>
          <w:tcPr>
            <w:tcW w:w="1134" w:type="dxa"/>
          </w:tcPr>
          <w:p w:rsidR="00E46702" w:rsidRPr="00065D08" w:rsidRDefault="00E46702" w:rsidP="00E46702">
            <w:pPr>
              <w:outlineLvl w:val="3"/>
              <w:rPr>
                <w:rFonts w:hAnsi="Arial"/>
                <w:b/>
                <w:color w:val="000000" w:themeColor="text1"/>
                <w:kern w:val="32"/>
                <w:sz w:val="28"/>
                <w:szCs w:val="28"/>
              </w:rPr>
            </w:pPr>
            <w:r w:rsidRPr="00065D08">
              <w:rPr>
                <w:rFonts w:hAnsi="Arial" w:hint="eastAsia"/>
                <w:b/>
                <w:color w:val="000000" w:themeColor="text1"/>
                <w:kern w:val="32"/>
                <w:sz w:val="28"/>
                <w:szCs w:val="28"/>
              </w:rPr>
              <w:t>有具體作為</w:t>
            </w:r>
          </w:p>
        </w:tc>
        <w:tc>
          <w:tcPr>
            <w:tcW w:w="2410" w:type="dxa"/>
          </w:tcPr>
          <w:p w:rsidR="00E46702" w:rsidRPr="00065D08" w:rsidRDefault="00E46702" w:rsidP="00E46702">
            <w:pPr>
              <w:outlineLvl w:val="3"/>
              <w:rPr>
                <w:rFonts w:hAnsi="Arial"/>
                <w:b/>
                <w:color w:val="000000" w:themeColor="text1"/>
                <w:kern w:val="32"/>
                <w:sz w:val="28"/>
                <w:szCs w:val="28"/>
              </w:rPr>
            </w:pPr>
            <w:r w:rsidRPr="00065D08">
              <w:rPr>
                <w:rFonts w:hAnsi="Arial" w:hint="eastAsia"/>
                <w:b/>
                <w:color w:val="000000" w:themeColor="text1"/>
                <w:kern w:val="32"/>
                <w:sz w:val="28"/>
                <w:szCs w:val="28"/>
              </w:rPr>
              <w:t>交辦案件進行單明確指示檢察事務官偵辦方向</w:t>
            </w:r>
          </w:p>
        </w:tc>
        <w:tc>
          <w:tcPr>
            <w:tcW w:w="2977" w:type="dxa"/>
          </w:tcPr>
          <w:p w:rsidR="00E46702" w:rsidRPr="00065D08" w:rsidRDefault="00E46702" w:rsidP="00E46702">
            <w:pPr>
              <w:outlineLvl w:val="3"/>
              <w:rPr>
                <w:rFonts w:hAnsi="Arial"/>
                <w:b/>
                <w:color w:val="000000" w:themeColor="text1"/>
                <w:kern w:val="32"/>
                <w:sz w:val="28"/>
                <w:szCs w:val="28"/>
              </w:rPr>
            </w:pPr>
            <w:r w:rsidRPr="00065D08">
              <w:rPr>
                <w:rFonts w:hAnsi="Arial" w:hint="eastAsia"/>
                <w:b/>
                <w:color w:val="000000" w:themeColor="text1"/>
                <w:kern w:val="32"/>
                <w:sz w:val="28"/>
                <w:szCs w:val="28"/>
              </w:rPr>
              <w:t>交辦案件進行單僅指引檢察事務官應製作之書類</w:t>
            </w:r>
          </w:p>
        </w:tc>
        <w:tc>
          <w:tcPr>
            <w:tcW w:w="1154" w:type="dxa"/>
          </w:tcPr>
          <w:p w:rsidR="00E46702" w:rsidRPr="00065D08" w:rsidRDefault="00E46702" w:rsidP="00E46702">
            <w:pPr>
              <w:outlineLvl w:val="3"/>
              <w:rPr>
                <w:rFonts w:hAnsi="Arial"/>
                <w:b/>
                <w:color w:val="000000" w:themeColor="text1"/>
                <w:kern w:val="32"/>
                <w:sz w:val="28"/>
                <w:szCs w:val="28"/>
              </w:rPr>
            </w:pPr>
            <w:r w:rsidRPr="00065D08">
              <w:rPr>
                <w:rFonts w:hAnsi="Arial" w:hint="eastAsia"/>
                <w:b/>
                <w:color w:val="000000" w:themeColor="text1"/>
                <w:kern w:val="32"/>
                <w:sz w:val="28"/>
                <w:szCs w:val="28"/>
              </w:rPr>
              <w:t>無法歸類</w:t>
            </w:r>
          </w:p>
        </w:tc>
      </w:tr>
      <w:tr w:rsidR="00065D08" w:rsidRPr="00065D08" w:rsidTr="003D16ED">
        <w:tc>
          <w:tcPr>
            <w:tcW w:w="567" w:type="dxa"/>
          </w:tcPr>
          <w:p w:rsidR="00E46702" w:rsidRPr="00065D08" w:rsidRDefault="00E46702" w:rsidP="00E46702">
            <w:pPr>
              <w:outlineLvl w:val="3"/>
              <w:rPr>
                <w:rFonts w:hAnsi="Arial"/>
                <w:color w:val="000000" w:themeColor="text1"/>
                <w:kern w:val="32"/>
                <w:sz w:val="28"/>
                <w:szCs w:val="28"/>
              </w:rPr>
            </w:pPr>
            <w:r w:rsidRPr="00065D08">
              <w:rPr>
                <w:rFonts w:hAnsi="Arial" w:hint="eastAsia"/>
                <w:color w:val="000000" w:themeColor="text1"/>
                <w:kern w:val="32"/>
                <w:sz w:val="28"/>
                <w:szCs w:val="28"/>
              </w:rPr>
              <w:t>案</w:t>
            </w:r>
            <w:r w:rsidRPr="00065D08">
              <w:rPr>
                <w:rFonts w:hAnsi="Arial" w:hint="eastAsia"/>
                <w:color w:val="000000" w:themeColor="text1"/>
                <w:kern w:val="32"/>
                <w:sz w:val="28"/>
                <w:szCs w:val="28"/>
              </w:rPr>
              <w:lastRenderedPageBreak/>
              <w:t>件編號</w:t>
            </w:r>
          </w:p>
        </w:tc>
        <w:tc>
          <w:tcPr>
            <w:tcW w:w="1134" w:type="dxa"/>
          </w:tcPr>
          <w:p w:rsidR="00E46702" w:rsidRPr="00065D08" w:rsidRDefault="00E46702" w:rsidP="00E46702">
            <w:pPr>
              <w:kinsoku w:val="0"/>
              <w:overflowPunct/>
              <w:topLinePunct/>
              <w:autoSpaceDE/>
              <w:autoSpaceDN/>
              <w:jc w:val="left"/>
              <w:outlineLvl w:val="3"/>
              <w:rPr>
                <w:rFonts w:hAnsi="Arial"/>
                <w:color w:val="000000" w:themeColor="text1"/>
                <w:kern w:val="32"/>
                <w:sz w:val="28"/>
                <w:szCs w:val="28"/>
              </w:rPr>
            </w:pPr>
            <w:r w:rsidRPr="00065D08">
              <w:rPr>
                <w:rFonts w:hAnsi="Arial" w:hint="eastAsia"/>
                <w:color w:val="000000" w:themeColor="text1"/>
                <w:kern w:val="32"/>
                <w:sz w:val="28"/>
                <w:szCs w:val="28"/>
              </w:rPr>
              <w:lastRenderedPageBreak/>
              <w:t>21,20,</w:t>
            </w:r>
            <w:r w:rsidRPr="00065D08">
              <w:rPr>
                <w:rFonts w:hAnsi="Arial" w:hint="eastAsia"/>
                <w:color w:val="000000" w:themeColor="text1"/>
                <w:kern w:val="32"/>
                <w:sz w:val="28"/>
                <w:szCs w:val="28"/>
              </w:rPr>
              <w:lastRenderedPageBreak/>
              <w:t>22,23,45,66,67,86</w:t>
            </w:r>
          </w:p>
        </w:tc>
        <w:tc>
          <w:tcPr>
            <w:tcW w:w="2410" w:type="dxa"/>
          </w:tcPr>
          <w:p w:rsidR="00E46702" w:rsidRPr="00065D08" w:rsidRDefault="00E46702" w:rsidP="00E46702">
            <w:pPr>
              <w:kinsoku w:val="0"/>
              <w:overflowPunct/>
              <w:topLinePunct/>
              <w:autoSpaceDE/>
              <w:autoSpaceDN/>
              <w:jc w:val="left"/>
              <w:outlineLvl w:val="3"/>
              <w:rPr>
                <w:rFonts w:hAnsi="Arial"/>
                <w:color w:val="000000" w:themeColor="text1"/>
                <w:kern w:val="32"/>
                <w:sz w:val="28"/>
                <w:szCs w:val="28"/>
              </w:rPr>
            </w:pPr>
            <w:r w:rsidRPr="00065D08">
              <w:rPr>
                <w:rFonts w:hAnsi="Arial" w:hint="eastAsia"/>
                <w:color w:val="000000" w:themeColor="text1"/>
                <w:kern w:val="32"/>
                <w:sz w:val="28"/>
                <w:szCs w:val="28"/>
              </w:rPr>
              <w:lastRenderedPageBreak/>
              <w:t>5,12,17,18,19,</w:t>
            </w:r>
            <w:r w:rsidRPr="00065D08">
              <w:rPr>
                <w:rFonts w:hAnsi="Arial" w:hint="eastAsia"/>
                <w:color w:val="000000" w:themeColor="text1"/>
                <w:kern w:val="32"/>
                <w:sz w:val="28"/>
                <w:szCs w:val="28"/>
              </w:rPr>
              <w:lastRenderedPageBreak/>
              <w:t>40,43,50,58,68,69,70,89</w:t>
            </w:r>
          </w:p>
        </w:tc>
        <w:tc>
          <w:tcPr>
            <w:tcW w:w="2977" w:type="dxa"/>
          </w:tcPr>
          <w:p w:rsidR="00E46702" w:rsidRPr="00065D08" w:rsidRDefault="00E46702" w:rsidP="00E46702">
            <w:pPr>
              <w:kinsoku w:val="0"/>
              <w:overflowPunct/>
              <w:topLinePunct/>
              <w:autoSpaceDE/>
              <w:autoSpaceDN/>
              <w:jc w:val="left"/>
              <w:outlineLvl w:val="3"/>
              <w:rPr>
                <w:rFonts w:hAnsi="Arial"/>
                <w:color w:val="000000" w:themeColor="text1"/>
                <w:kern w:val="32"/>
                <w:sz w:val="28"/>
                <w:szCs w:val="28"/>
              </w:rPr>
            </w:pPr>
            <w:r w:rsidRPr="00065D08">
              <w:rPr>
                <w:rFonts w:hAnsi="Arial" w:hint="eastAsia"/>
                <w:color w:val="000000" w:themeColor="text1"/>
                <w:kern w:val="32"/>
                <w:sz w:val="28"/>
                <w:szCs w:val="28"/>
              </w:rPr>
              <w:lastRenderedPageBreak/>
              <w:t>1,2,3,4,6,7,8,9,10</w:t>
            </w:r>
            <w:r w:rsidRPr="00065D08">
              <w:rPr>
                <w:rFonts w:hAnsi="Arial" w:hint="eastAsia"/>
                <w:color w:val="000000" w:themeColor="text1"/>
                <w:kern w:val="32"/>
                <w:sz w:val="28"/>
                <w:szCs w:val="28"/>
              </w:rPr>
              <w:lastRenderedPageBreak/>
              <w:t>,11,25,26,27,28,29,30,31,32,33,34,36,37,38,39,41,44,46,47,48,49,51,52,53,54,56,57,59,60,61,62,63,65,71,72,73,74,75,76,77,78,79,80,81,82,83,84,85,87,88</w:t>
            </w:r>
          </w:p>
        </w:tc>
        <w:tc>
          <w:tcPr>
            <w:tcW w:w="1154" w:type="dxa"/>
          </w:tcPr>
          <w:p w:rsidR="00E46702" w:rsidRPr="00065D08" w:rsidRDefault="00E46702" w:rsidP="00E46702">
            <w:pPr>
              <w:kinsoku w:val="0"/>
              <w:overflowPunct/>
              <w:topLinePunct/>
              <w:autoSpaceDE/>
              <w:autoSpaceDN/>
              <w:jc w:val="left"/>
              <w:outlineLvl w:val="3"/>
              <w:rPr>
                <w:rFonts w:hAnsi="Arial"/>
                <w:color w:val="000000" w:themeColor="text1"/>
                <w:kern w:val="32"/>
                <w:sz w:val="28"/>
                <w:szCs w:val="28"/>
              </w:rPr>
            </w:pPr>
            <w:r w:rsidRPr="00065D08">
              <w:rPr>
                <w:rFonts w:hAnsi="Arial" w:hint="eastAsia"/>
                <w:color w:val="000000" w:themeColor="text1"/>
                <w:kern w:val="32"/>
                <w:sz w:val="28"/>
                <w:szCs w:val="28"/>
              </w:rPr>
              <w:lastRenderedPageBreak/>
              <w:t>13,14,</w:t>
            </w:r>
            <w:r w:rsidRPr="00065D08">
              <w:rPr>
                <w:rFonts w:hAnsi="Arial" w:hint="eastAsia"/>
                <w:color w:val="000000" w:themeColor="text1"/>
                <w:kern w:val="32"/>
                <w:sz w:val="28"/>
                <w:szCs w:val="28"/>
              </w:rPr>
              <w:lastRenderedPageBreak/>
              <w:t>15,16,24,35,42,55,64</w:t>
            </w:r>
          </w:p>
        </w:tc>
      </w:tr>
      <w:tr w:rsidR="00065D08" w:rsidRPr="00065D08" w:rsidTr="003D16ED">
        <w:tc>
          <w:tcPr>
            <w:tcW w:w="567" w:type="dxa"/>
          </w:tcPr>
          <w:p w:rsidR="00E46702" w:rsidRPr="00065D08" w:rsidRDefault="00E46702" w:rsidP="00E46702">
            <w:pPr>
              <w:outlineLvl w:val="3"/>
              <w:rPr>
                <w:rFonts w:hAnsi="Arial"/>
                <w:color w:val="000000" w:themeColor="text1"/>
                <w:kern w:val="32"/>
                <w:sz w:val="28"/>
                <w:szCs w:val="28"/>
              </w:rPr>
            </w:pPr>
            <w:r w:rsidRPr="00065D08">
              <w:rPr>
                <w:rFonts w:hAnsi="Arial" w:hint="eastAsia"/>
                <w:color w:val="000000" w:themeColor="text1"/>
                <w:kern w:val="32"/>
                <w:sz w:val="28"/>
                <w:szCs w:val="28"/>
              </w:rPr>
              <w:lastRenderedPageBreak/>
              <w:t>總計</w:t>
            </w:r>
          </w:p>
        </w:tc>
        <w:tc>
          <w:tcPr>
            <w:tcW w:w="1134" w:type="dxa"/>
          </w:tcPr>
          <w:p w:rsidR="00E46702" w:rsidRPr="00065D08" w:rsidRDefault="00E46702" w:rsidP="00E46702">
            <w:pPr>
              <w:outlineLvl w:val="3"/>
              <w:rPr>
                <w:rFonts w:hAnsi="Arial"/>
                <w:color w:val="000000" w:themeColor="text1"/>
                <w:kern w:val="32"/>
                <w:sz w:val="28"/>
                <w:szCs w:val="28"/>
              </w:rPr>
            </w:pPr>
            <w:r w:rsidRPr="00065D08">
              <w:rPr>
                <w:rFonts w:hAnsi="Arial" w:hint="eastAsia"/>
                <w:color w:val="000000" w:themeColor="text1"/>
                <w:kern w:val="32"/>
                <w:sz w:val="28"/>
                <w:szCs w:val="28"/>
              </w:rPr>
              <w:t>8</w:t>
            </w:r>
          </w:p>
        </w:tc>
        <w:tc>
          <w:tcPr>
            <w:tcW w:w="2410" w:type="dxa"/>
          </w:tcPr>
          <w:p w:rsidR="00E46702" w:rsidRPr="00065D08" w:rsidRDefault="00E46702" w:rsidP="00E46702">
            <w:pPr>
              <w:outlineLvl w:val="3"/>
              <w:rPr>
                <w:rFonts w:hAnsi="Arial"/>
                <w:color w:val="000000" w:themeColor="text1"/>
                <w:kern w:val="32"/>
                <w:sz w:val="28"/>
                <w:szCs w:val="28"/>
              </w:rPr>
            </w:pPr>
            <w:r w:rsidRPr="00065D08">
              <w:rPr>
                <w:rFonts w:hAnsi="Arial" w:hint="eastAsia"/>
                <w:color w:val="000000" w:themeColor="text1"/>
                <w:kern w:val="32"/>
                <w:sz w:val="28"/>
                <w:szCs w:val="28"/>
              </w:rPr>
              <w:t>13</w:t>
            </w:r>
          </w:p>
        </w:tc>
        <w:tc>
          <w:tcPr>
            <w:tcW w:w="2977" w:type="dxa"/>
          </w:tcPr>
          <w:p w:rsidR="00E46702" w:rsidRPr="00065D08" w:rsidRDefault="00E46702" w:rsidP="00E46702">
            <w:pPr>
              <w:outlineLvl w:val="3"/>
              <w:rPr>
                <w:rFonts w:hAnsi="Arial"/>
                <w:color w:val="000000" w:themeColor="text1"/>
                <w:kern w:val="32"/>
                <w:sz w:val="28"/>
                <w:szCs w:val="28"/>
              </w:rPr>
            </w:pPr>
            <w:r w:rsidRPr="00065D08">
              <w:rPr>
                <w:rFonts w:hAnsi="Arial" w:hint="eastAsia"/>
                <w:color w:val="000000" w:themeColor="text1"/>
                <w:kern w:val="32"/>
                <w:sz w:val="28"/>
                <w:szCs w:val="28"/>
              </w:rPr>
              <w:t>59</w:t>
            </w:r>
          </w:p>
        </w:tc>
        <w:tc>
          <w:tcPr>
            <w:tcW w:w="1154" w:type="dxa"/>
          </w:tcPr>
          <w:p w:rsidR="00E46702" w:rsidRPr="00065D08" w:rsidRDefault="00E46702" w:rsidP="00E46702">
            <w:pPr>
              <w:outlineLvl w:val="3"/>
              <w:rPr>
                <w:rFonts w:hAnsi="Arial"/>
                <w:color w:val="000000" w:themeColor="text1"/>
                <w:kern w:val="32"/>
                <w:sz w:val="28"/>
                <w:szCs w:val="28"/>
              </w:rPr>
            </w:pPr>
            <w:r w:rsidRPr="00065D08">
              <w:rPr>
                <w:rFonts w:hAnsi="Arial" w:hint="eastAsia"/>
                <w:color w:val="000000" w:themeColor="text1"/>
                <w:kern w:val="32"/>
                <w:sz w:val="28"/>
                <w:szCs w:val="28"/>
              </w:rPr>
              <w:t>9</w:t>
            </w:r>
          </w:p>
        </w:tc>
      </w:tr>
    </w:tbl>
    <w:p w:rsidR="00E46702" w:rsidRPr="00065D08" w:rsidRDefault="00E46702" w:rsidP="00E46702">
      <w:pPr>
        <w:spacing w:line="280" w:lineRule="exact"/>
        <w:ind w:leftChars="208" w:left="1133" w:hangingChars="193" w:hanging="425"/>
        <w:outlineLvl w:val="1"/>
        <w:rPr>
          <w:rFonts w:hAnsi="Arial"/>
          <w:bCs/>
          <w:color w:val="000000" w:themeColor="text1"/>
          <w:kern w:val="32"/>
          <w:sz w:val="20"/>
          <w:szCs w:val="28"/>
        </w:rPr>
      </w:pPr>
      <w:r w:rsidRPr="00065D08">
        <w:rPr>
          <w:rFonts w:hAnsi="Arial" w:hint="eastAsia"/>
          <w:bCs/>
          <w:color w:val="000000" w:themeColor="text1"/>
          <w:kern w:val="32"/>
          <w:sz w:val="20"/>
          <w:szCs w:val="28"/>
        </w:rPr>
        <w:t>註：1.如僅指引製作書類，但有具體作為者，僅歸計於具體作為。</w:t>
      </w:r>
      <w:r w:rsidRPr="00065D08">
        <w:rPr>
          <w:rFonts w:hAnsi="Arial"/>
          <w:bCs/>
          <w:color w:val="000000" w:themeColor="text1"/>
          <w:kern w:val="32"/>
          <w:sz w:val="20"/>
          <w:szCs w:val="28"/>
        </w:rPr>
        <w:br/>
      </w:r>
      <w:r w:rsidRPr="00065D08">
        <w:rPr>
          <w:rFonts w:hAnsi="Arial" w:hint="eastAsia"/>
          <w:bCs/>
          <w:color w:val="000000" w:themeColor="text1"/>
          <w:kern w:val="32"/>
          <w:sz w:val="20"/>
          <w:szCs w:val="28"/>
        </w:rPr>
        <w:t>2.如交辦單上明確指示者，且有具體作為者，亦僅歸計於具體作為。</w:t>
      </w:r>
    </w:p>
    <w:p w:rsidR="00E46702" w:rsidRPr="00065D08" w:rsidRDefault="00E46702" w:rsidP="00E46702">
      <w:pPr>
        <w:ind w:left="425" w:hangingChars="193" w:hanging="425"/>
        <w:outlineLvl w:val="1"/>
        <w:rPr>
          <w:rFonts w:hAnsi="Arial"/>
          <w:bCs/>
          <w:color w:val="000000" w:themeColor="text1"/>
          <w:kern w:val="32"/>
          <w:sz w:val="20"/>
          <w:szCs w:val="28"/>
        </w:rPr>
      </w:pPr>
    </w:p>
    <w:p w:rsidR="00E46702" w:rsidRPr="00065D08" w:rsidRDefault="00E46702" w:rsidP="00E46702">
      <w:pPr>
        <w:numPr>
          <w:ilvl w:val="3"/>
          <w:numId w:val="1"/>
        </w:numPr>
        <w:outlineLvl w:val="3"/>
        <w:rPr>
          <w:rFonts w:hAnsi="Arial"/>
          <w:color w:val="000000" w:themeColor="text1"/>
          <w:kern w:val="32"/>
          <w:szCs w:val="36"/>
        </w:rPr>
      </w:pPr>
      <w:r w:rsidRPr="00065D08">
        <w:rPr>
          <w:rFonts w:hAnsi="Arial" w:hint="eastAsia"/>
          <w:color w:val="000000" w:themeColor="text1"/>
          <w:kern w:val="32"/>
          <w:szCs w:val="36"/>
        </w:rPr>
        <w:t>本時期徐仕瑋</w:t>
      </w:r>
      <w:r w:rsidR="00ED768A" w:rsidRPr="00065D08">
        <w:rPr>
          <w:rFonts w:hAnsi="Arial" w:hint="eastAsia"/>
          <w:color w:val="000000" w:themeColor="text1"/>
          <w:kern w:val="32"/>
          <w:szCs w:val="36"/>
        </w:rPr>
        <w:t>交與</w:t>
      </w:r>
      <w:r w:rsidRPr="00065D08">
        <w:rPr>
          <w:rFonts w:hAnsi="Arial" w:hint="eastAsia"/>
          <w:color w:val="000000" w:themeColor="text1"/>
          <w:kern w:val="32"/>
          <w:szCs w:val="36"/>
        </w:rPr>
        <w:t>檢察事務官辦理之案件，逐案檢視其內容後，發現有下列缺失：</w:t>
      </w:r>
    </w:p>
    <w:p w:rsidR="00E46702" w:rsidRPr="00065D08" w:rsidRDefault="00E46702" w:rsidP="00FF100E">
      <w:pPr>
        <w:pStyle w:val="5"/>
        <w:rPr>
          <w:color w:val="000000" w:themeColor="text1"/>
        </w:rPr>
      </w:pPr>
      <w:r w:rsidRPr="00065D08">
        <w:rPr>
          <w:rFonts w:hint="eastAsia"/>
          <w:color w:val="000000" w:themeColor="text1"/>
        </w:rPr>
        <w:t>編號50、61、67、68、69、71、72、74、76至80、84至86等共16件案件中，檢察書類原本之製作日期，均於檢察事務官簽結日期之前，足徵該原本應係檢察事務官獨立製作完成，且實情應係檢察事務官簽結後，再由檢察官製作原本，顯見該原本所載製作日期，並非檢察官實際製作日期。</w:t>
      </w:r>
    </w:p>
    <w:p w:rsidR="00E46702" w:rsidRPr="00065D08" w:rsidRDefault="00E46702" w:rsidP="00FF100E">
      <w:pPr>
        <w:pStyle w:val="5"/>
        <w:rPr>
          <w:color w:val="000000" w:themeColor="text1"/>
        </w:rPr>
      </w:pPr>
      <w:r w:rsidRPr="00065D08">
        <w:rPr>
          <w:rFonts w:hint="eastAsia"/>
          <w:color w:val="000000" w:themeColor="text1"/>
        </w:rPr>
        <w:t>編號21案件，徐仕瑋於交辦事項僅填載「請依現有卷證分析（不起訴）」，然不起訴處分書係由後手承接之溫檢察官作成，且溫檢察官交辦單內容繁多，可推定溫檢察官不認為可直接由檢察事務官製作不起訴處分書，還需要更多調查作為，始能達不起訴之心證。</w:t>
      </w:r>
    </w:p>
    <w:p w:rsidR="00E46702" w:rsidRPr="00065D08" w:rsidRDefault="00E46702" w:rsidP="00FF100E">
      <w:pPr>
        <w:pStyle w:val="5"/>
        <w:rPr>
          <w:color w:val="000000" w:themeColor="text1"/>
        </w:rPr>
      </w:pPr>
      <w:r w:rsidRPr="00065D08">
        <w:rPr>
          <w:rFonts w:hint="eastAsia"/>
          <w:color w:val="000000" w:themeColor="text1"/>
        </w:rPr>
        <w:t>編號22案件，告訴人於103年9月2日請求儘速偵結；編號25案件，已逾3月未終結。</w:t>
      </w:r>
    </w:p>
    <w:p w:rsidR="00E46702" w:rsidRPr="00065D08" w:rsidRDefault="00E46702" w:rsidP="00FF100E">
      <w:pPr>
        <w:pStyle w:val="5"/>
        <w:rPr>
          <w:color w:val="000000" w:themeColor="text1"/>
        </w:rPr>
      </w:pPr>
      <w:r w:rsidRPr="00065D08">
        <w:rPr>
          <w:rFonts w:hint="eastAsia"/>
          <w:color w:val="000000" w:themeColor="text1"/>
        </w:rPr>
        <w:t>編號31案件，偵查中辯護意旨顯示，被告有刑</w:t>
      </w:r>
      <w:r w:rsidRPr="00065D08">
        <w:rPr>
          <w:rFonts w:hint="eastAsia"/>
          <w:color w:val="000000" w:themeColor="text1"/>
        </w:rPr>
        <w:lastRenderedPageBreak/>
        <w:t>法第19條</w:t>
      </w:r>
      <w:r w:rsidRPr="00065D08">
        <w:rPr>
          <w:color w:val="000000" w:themeColor="text1"/>
          <w:vertAlign w:val="superscript"/>
        </w:rPr>
        <w:footnoteReference w:id="6"/>
      </w:r>
      <w:r w:rsidRPr="00065D08">
        <w:rPr>
          <w:rFonts w:hint="eastAsia"/>
          <w:color w:val="000000" w:themeColor="text1"/>
        </w:rPr>
        <w:t>情事，故法院審理時先轉為通常程序訊問被告並確認被告是否認罪後再行簡易程序。本件偵查中未訊問被告即聲請簡易判決處刑，雖非違法，但應屬不妥。蓋依刑事訴訟法第449條第1項規定：「第一審法院依被告在偵查中之自白或其他現存之證據，已足認定其犯罪者，得因檢察官之聲請，不經通常審判程序，逕以簡易判決處刑。但有必要時，應於處刑前訊問被告。」故檢察官是否於處刑前訊問被告應有裁量權；惟依同法第452條規定：「</w:t>
      </w:r>
      <w:r w:rsidRPr="00065D08">
        <w:rPr>
          <w:color w:val="000000" w:themeColor="text1"/>
        </w:rPr>
        <w:tab/>
      </w:r>
      <w:r w:rsidRPr="00065D08">
        <w:rPr>
          <w:rFonts w:hint="eastAsia"/>
          <w:color w:val="000000" w:themeColor="text1"/>
        </w:rPr>
        <w:t>檢察官聲請以簡易判決處刑之案件，經法院認為有第451條之1第4項但書之情形者，應適用通常程序審判之。」本件偵查中辯護人主張被告有刑法第19條規定情事，即可能有依第451條之1第4項第3款</w:t>
      </w:r>
      <w:r w:rsidRPr="00065D08">
        <w:rPr>
          <w:color w:val="000000" w:themeColor="text1"/>
          <w:vertAlign w:val="superscript"/>
        </w:rPr>
        <w:footnoteReference w:id="7"/>
      </w:r>
      <w:r w:rsidRPr="00065D08">
        <w:rPr>
          <w:rFonts w:hint="eastAsia"/>
          <w:color w:val="000000" w:themeColor="text1"/>
        </w:rPr>
        <w:t>規定，法院應有諭知無罪判決空間，而不得行簡易程序，檢察官未經訊問確認，雖於審判中</w:t>
      </w:r>
      <w:r w:rsidR="008450FF" w:rsidRPr="00065D08">
        <w:rPr>
          <w:rFonts w:hint="eastAsia"/>
          <w:color w:val="000000" w:themeColor="text1"/>
        </w:rPr>
        <w:t>可</w:t>
      </w:r>
      <w:r w:rsidRPr="00065D08">
        <w:rPr>
          <w:rFonts w:hint="eastAsia"/>
          <w:color w:val="000000" w:themeColor="text1"/>
        </w:rPr>
        <w:t>由法官補行訊問，然徐仕瑋所為裁量究有不妥。</w:t>
      </w:r>
    </w:p>
    <w:p w:rsidR="00E46702" w:rsidRPr="00065D08" w:rsidRDefault="00E46702" w:rsidP="00FF100E">
      <w:pPr>
        <w:pStyle w:val="5"/>
        <w:rPr>
          <w:color w:val="000000" w:themeColor="text1"/>
        </w:rPr>
      </w:pPr>
      <w:r w:rsidRPr="00065D08">
        <w:rPr>
          <w:rFonts w:hint="eastAsia"/>
          <w:color w:val="000000" w:themeColor="text1"/>
        </w:rPr>
        <w:t>編號82案件，一審法院法官簽改分通常程序，理由為被告於偵查中未到庭，未經檢察官訊問，因此被告未經告知所犯罪名，則被告是否坦承犯行而無其他答辯，尚有疑義，故本案有刑事訴訟法第451條之1第4項但書</w:t>
      </w:r>
      <w:r w:rsidRPr="00065D08">
        <w:rPr>
          <w:color w:val="000000" w:themeColor="text1"/>
          <w:vertAlign w:val="superscript"/>
        </w:rPr>
        <w:footnoteReference w:id="8"/>
      </w:r>
      <w:r w:rsidRPr="00065D08">
        <w:rPr>
          <w:rFonts w:hint="eastAsia"/>
          <w:color w:val="000000" w:themeColor="text1"/>
        </w:rPr>
        <w:t>情形，依同</w:t>
      </w:r>
      <w:r w:rsidRPr="00065D08">
        <w:rPr>
          <w:rFonts w:hint="eastAsia"/>
          <w:color w:val="000000" w:themeColor="text1"/>
        </w:rPr>
        <w:lastRenderedPageBreak/>
        <w:t>法第452條</w:t>
      </w:r>
      <w:r w:rsidRPr="00065D08">
        <w:rPr>
          <w:color w:val="000000" w:themeColor="text1"/>
          <w:vertAlign w:val="superscript"/>
        </w:rPr>
        <w:footnoteReference w:id="9"/>
      </w:r>
      <w:r w:rsidRPr="00065D08">
        <w:rPr>
          <w:rFonts w:hint="eastAsia"/>
          <w:color w:val="000000" w:themeColor="text1"/>
        </w:rPr>
        <w:t>，有行通常程序之必要。由此以觀，徐仕瑋指示檢察事務官撰寫簡易判決處刑書，應有裁量瑕疵。</w:t>
      </w:r>
    </w:p>
    <w:p w:rsidR="00E46702" w:rsidRPr="00065D08" w:rsidRDefault="00E46702" w:rsidP="00FF100E">
      <w:pPr>
        <w:pStyle w:val="4"/>
        <w:rPr>
          <w:color w:val="000000" w:themeColor="text1"/>
        </w:rPr>
      </w:pPr>
      <w:r w:rsidRPr="00065D08">
        <w:rPr>
          <w:rFonts w:hint="eastAsia"/>
          <w:color w:val="000000" w:themeColor="text1"/>
        </w:rPr>
        <w:t>為瞭解徐仕瑋將案件</w:t>
      </w:r>
      <w:r w:rsidR="00ED768A" w:rsidRPr="00065D08">
        <w:rPr>
          <w:rFonts w:hint="eastAsia"/>
          <w:color w:val="000000" w:themeColor="text1"/>
        </w:rPr>
        <w:t>交與</w:t>
      </w:r>
      <w:r w:rsidRPr="00065D08">
        <w:rPr>
          <w:rFonts w:hint="eastAsia"/>
          <w:color w:val="000000" w:themeColor="text1"/>
        </w:rPr>
        <w:t>檢察事務官辦理後，就檢察事務官製作之「卷證分析報告」如何運用，</w:t>
      </w:r>
      <w:r w:rsidR="00734F1B" w:rsidRPr="00065D08">
        <w:rPr>
          <w:rFonts w:hint="eastAsia"/>
          <w:color w:val="000000" w:themeColor="text1"/>
        </w:rPr>
        <w:t>本院</w:t>
      </w:r>
      <w:r w:rsidRPr="00065D08">
        <w:rPr>
          <w:rFonts w:hint="eastAsia"/>
          <w:color w:val="000000" w:themeColor="text1"/>
        </w:rPr>
        <w:t>再向臺北地檢署調閱此時期交辦後檢察事務官製作之卷證分析報告書，與由徐仕瑋製作之檢察書類交叉比對後，排除無法比對者後</w:t>
      </w:r>
      <w:r w:rsidR="00BC41A6" w:rsidRPr="00065D08">
        <w:rPr>
          <w:rFonts w:hint="eastAsia"/>
          <w:color w:val="000000" w:themeColor="text1"/>
        </w:rPr>
        <w:t>，其餘</w:t>
      </w:r>
      <w:r w:rsidRPr="00065D08">
        <w:rPr>
          <w:rFonts w:hint="eastAsia"/>
          <w:color w:val="000000" w:themeColor="text1"/>
        </w:rPr>
        <w:t>共計71件，其中有68件卷證分析報告書與檢察書類內容幾乎完全相同，僅置換文書標題及將文書製作名義人由檢察事務官改為檢察官徐仕瑋</w:t>
      </w:r>
      <w:r w:rsidR="00734F1B" w:rsidRPr="00065D08">
        <w:rPr>
          <w:rFonts w:hint="eastAsia"/>
          <w:color w:val="000000" w:themeColor="text1"/>
        </w:rPr>
        <w:t>而已</w:t>
      </w:r>
      <w:r w:rsidRPr="00065D08">
        <w:rPr>
          <w:rFonts w:hint="eastAsia"/>
          <w:color w:val="000000" w:themeColor="text1"/>
        </w:rPr>
        <w:t>，比率高達96%，詳如下表：</w:t>
      </w:r>
    </w:p>
    <w:p w:rsidR="00E46702" w:rsidRPr="00065D08" w:rsidRDefault="00E46702" w:rsidP="00FF100E">
      <w:pPr>
        <w:pStyle w:val="a3"/>
        <w:ind w:firstLine="721"/>
        <w:jc w:val="center"/>
        <w:rPr>
          <w:b/>
          <w:color w:val="000000" w:themeColor="text1"/>
        </w:rPr>
      </w:pPr>
      <w:r w:rsidRPr="00065D08">
        <w:rPr>
          <w:rFonts w:hint="eastAsia"/>
          <w:b/>
          <w:color w:val="000000" w:themeColor="text1"/>
        </w:rPr>
        <w:t>卷證分析報告書與檢察書類比較表</w:t>
      </w:r>
    </w:p>
    <w:tbl>
      <w:tblPr>
        <w:tblW w:w="7535"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623"/>
        <w:gridCol w:w="2623"/>
        <w:gridCol w:w="1757"/>
      </w:tblGrid>
      <w:tr w:rsidR="00065D08" w:rsidRPr="00065D08" w:rsidTr="003D16ED">
        <w:tc>
          <w:tcPr>
            <w:tcW w:w="532" w:type="dxa"/>
          </w:tcPr>
          <w:p w:rsidR="00E46702" w:rsidRPr="00065D08" w:rsidRDefault="00E46702" w:rsidP="00E46702">
            <w:pPr>
              <w:outlineLvl w:val="3"/>
              <w:rPr>
                <w:rFonts w:hAnsi="Arial"/>
                <w:color w:val="000000" w:themeColor="text1"/>
                <w:kern w:val="32"/>
                <w:sz w:val="28"/>
                <w:szCs w:val="36"/>
              </w:rPr>
            </w:pPr>
          </w:p>
        </w:tc>
        <w:tc>
          <w:tcPr>
            <w:tcW w:w="2623" w:type="dxa"/>
          </w:tcPr>
          <w:p w:rsidR="00E46702" w:rsidRPr="00065D08" w:rsidRDefault="00E46702" w:rsidP="00E46702">
            <w:pPr>
              <w:outlineLvl w:val="3"/>
              <w:rPr>
                <w:rFonts w:hAnsi="Arial"/>
                <w:color w:val="000000" w:themeColor="text1"/>
                <w:kern w:val="32"/>
                <w:sz w:val="28"/>
                <w:szCs w:val="36"/>
              </w:rPr>
            </w:pPr>
            <w:r w:rsidRPr="00065D08">
              <w:rPr>
                <w:rFonts w:hAnsi="Arial" w:hint="eastAsia"/>
                <w:color w:val="000000" w:themeColor="text1"/>
                <w:kern w:val="32"/>
                <w:sz w:val="28"/>
                <w:szCs w:val="36"/>
              </w:rPr>
              <w:t>卷證分析報告書與檢察書類幾乎完全相同</w:t>
            </w:r>
          </w:p>
        </w:tc>
        <w:tc>
          <w:tcPr>
            <w:tcW w:w="2623" w:type="dxa"/>
          </w:tcPr>
          <w:p w:rsidR="00E46702" w:rsidRPr="00065D08" w:rsidRDefault="00E46702" w:rsidP="00E46702">
            <w:pPr>
              <w:outlineLvl w:val="3"/>
              <w:rPr>
                <w:rFonts w:hAnsi="Arial"/>
                <w:color w:val="000000" w:themeColor="text1"/>
                <w:kern w:val="32"/>
                <w:sz w:val="28"/>
                <w:szCs w:val="36"/>
              </w:rPr>
            </w:pPr>
            <w:r w:rsidRPr="00065D08">
              <w:rPr>
                <w:rFonts w:hAnsi="Arial" w:hint="eastAsia"/>
                <w:color w:val="000000" w:themeColor="text1"/>
                <w:kern w:val="32"/>
                <w:sz w:val="28"/>
                <w:szCs w:val="36"/>
              </w:rPr>
              <w:t>卷證分析報告書與檢察書類有所不同</w:t>
            </w:r>
          </w:p>
        </w:tc>
        <w:tc>
          <w:tcPr>
            <w:tcW w:w="1757" w:type="dxa"/>
          </w:tcPr>
          <w:p w:rsidR="00E46702" w:rsidRPr="00065D08" w:rsidRDefault="00E46702" w:rsidP="00E46702">
            <w:pPr>
              <w:outlineLvl w:val="3"/>
              <w:rPr>
                <w:rFonts w:hAnsi="Arial"/>
                <w:color w:val="000000" w:themeColor="text1"/>
                <w:kern w:val="32"/>
                <w:sz w:val="28"/>
                <w:szCs w:val="36"/>
              </w:rPr>
            </w:pPr>
            <w:r w:rsidRPr="00065D08">
              <w:rPr>
                <w:rFonts w:hAnsi="Arial" w:hint="eastAsia"/>
                <w:color w:val="000000" w:themeColor="text1"/>
                <w:kern w:val="32"/>
                <w:sz w:val="28"/>
                <w:szCs w:val="36"/>
              </w:rPr>
              <w:t>無法比對</w:t>
            </w:r>
          </w:p>
        </w:tc>
      </w:tr>
      <w:tr w:rsidR="00065D08" w:rsidRPr="00065D08" w:rsidTr="003D16ED">
        <w:tc>
          <w:tcPr>
            <w:tcW w:w="532" w:type="dxa"/>
          </w:tcPr>
          <w:p w:rsidR="00E46702" w:rsidRPr="00065D08" w:rsidRDefault="00E46702" w:rsidP="00E46702">
            <w:pPr>
              <w:outlineLvl w:val="3"/>
              <w:rPr>
                <w:rFonts w:hAnsi="Arial"/>
                <w:color w:val="000000" w:themeColor="text1"/>
                <w:kern w:val="32"/>
                <w:sz w:val="28"/>
                <w:szCs w:val="36"/>
              </w:rPr>
            </w:pPr>
            <w:r w:rsidRPr="00065D08">
              <w:rPr>
                <w:rFonts w:hAnsi="Arial" w:hint="eastAsia"/>
                <w:color w:val="000000" w:themeColor="text1"/>
                <w:kern w:val="32"/>
                <w:sz w:val="28"/>
                <w:szCs w:val="36"/>
              </w:rPr>
              <w:t>案件編號</w:t>
            </w:r>
          </w:p>
        </w:tc>
        <w:tc>
          <w:tcPr>
            <w:tcW w:w="2623" w:type="dxa"/>
          </w:tcPr>
          <w:p w:rsidR="00E46702" w:rsidRPr="00065D08" w:rsidRDefault="00E46702" w:rsidP="00E46702">
            <w:pPr>
              <w:outlineLvl w:val="3"/>
              <w:rPr>
                <w:rFonts w:hAnsi="Arial"/>
                <w:color w:val="000000" w:themeColor="text1"/>
                <w:kern w:val="32"/>
                <w:sz w:val="28"/>
                <w:szCs w:val="36"/>
              </w:rPr>
            </w:pPr>
            <w:r w:rsidRPr="00065D08">
              <w:rPr>
                <w:rFonts w:hAnsi="Arial" w:hint="eastAsia"/>
                <w:color w:val="000000" w:themeColor="text1"/>
                <w:kern w:val="32"/>
                <w:sz w:val="28"/>
                <w:szCs w:val="36"/>
              </w:rPr>
              <w:t>1,4,6,7,8,9,10,11,13,17,18,19,20,23,25,26,27,28,29,30,31,33,34,37,38,39,40,41,42,44,45,46,47,48,49,50,51,52,53,54,56,58,59,60,62,63,65,66,67,68,70,71,72,73,74,75,76,77,78,79,80,82,83,85,86,87,88,89</w:t>
            </w:r>
          </w:p>
        </w:tc>
        <w:tc>
          <w:tcPr>
            <w:tcW w:w="2623" w:type="dxa"/>
          </w:tcPr>
          <w:p w:rsidR="00E46702" w:rsidRPr="00065D08" w:rsidRDefault="00E46702" w:rsidP="00E46702">
            <w:pPr>
              <w:outlineLvl w:val="3"/>
              <w:rPr>
                <w:rFonts w:hAnsi="Arial"/>
                <w:color w:val="000000" w:themeColor="text1"/>
                <w:kern w:val="32"/>
                <w:sz w:val="28"/>
                <w:szCs w:val="36"/>
              </w:rPr>
            </w:pPr>
            <w:r w:rsidRPr="00065D08">
              <w:rPr>
                <w:rFonts w:hAnsi="Arial" w:hint="eastAsia"/>
                <w:color w:val="000000" w:themeColor="text1"/>
                <w:kern w:val="32"/>
                <w:sz w:val="28"/>
                <w:szCs w:val="36"/>
              </w:rPr>
              <w:t>3,5,43</w:t>
            </w:r>
          </w:p>
        </w:tc>
        <w:tc>
          <w:tcPr>
            <w:tcW w:w="1757" w:type="dxa"/>
          </w:tcPr>
          <w:p w:rsidR="00E46702" w:rsidRPr="00065D08" w:rsidRDefault="00E46702" w:rsidP="00E46702">
            <w:pPr>
              <w:outlineLvl w:val="3"/>
              <w:rPr>
                <w:rFonts w:hAnsi="Arial"/>
                <w:color w:val="000000" w:themeColor="text1"/>
                <w:kern w:val="32"/>
                <w:sz w:val="28"/>
                <w:szCs w:val="36"/>
              </w:rPr>
            </w:pPr>
            <w:r w:rsidRPr="00065D08">
              <w:rPr>
                <w:rFonts w:hAnsi="Arial" w:hint="eastAsia"/>
                <w:color w:val="000000" w:themeColor="text1"/>
                <w:kern w:val="32"/>
                <w:sz w:val="28"/>
                <w:szCs w:val="36"/>
              </w:rPr>
              <w:t>12,21,55</w:t>
            </w:r>
          </w:p>
        </w:tc>
      </w:tr>
      <w:tr w:rsidR="00E46702" w:rsidRPr="00065D08" w:rsidTr="003D16ED">
        <w:tc>
          <w:tcPr>
            <w:tcW w:w="532" w:type="dxa"/>
          </w:tcPr>
          <w:p w:rsidR="00E46702" w:rsidRPr="00065D08" w:rsidRDefault="00E46702" w:rsidP="00E46702">
            <w:pPr>
              <w:outlineLvl w:val="3"/>
              <w:rPr>
                <w:rFonts w:hAnsi="Arial"/>
                <w:color w:val="000000" w:themeColor="text1"/>
                <w:kern w:val="32"/>
                <w:sz w:val="28"/>
                <w:szCs w:val="36"/>
              </w:rPr>
            </w:pPr>
            <w:r w:rsidRPr="00065D08">
              <w:rPr>
                <w:rFonts w:hAnsi="Arial" w:hint="eastAsia"/>
                <w:color w:val="000000" w:themeColor="text1"/>
                <w:kern w:val="32"/>
                <w:sz w:val="28"/>
                <w:szCs w:val="36"/>
              </w:rPr>
              <w:t>總計</w:t>
            </w:r>
          </w:p>
        </w:tc>
        <w:tc>
          <w:tcPr>
            <w:tcW w:w="2623" w:type="dxa"/>
          </w:tcPr>
          <w:p w:rsidR="00E46702" w:rsidRPr="00065D08" w:rsidRDefault="00E46702" w:rsidP="00E46702">
            <w:pPr>
              <w:outlineLvl w:val="3"/>
              <w:rPr>
                <w:rFonts w:hAnsi="Arial"/>
                <w:color w:val="000000" w:themeColor="text1"/>
                <w:kern w:val="32"/>
                <w:sz w:val="28"/>
                <w:szCs w:val="36"/>
              </w:rPr>
            </w:pPr>
            <w:r w:rsidRPr="00065D08">
              <w:rPr>
                <w:rFonts w:hAnsi="Arial" w:hint="eastAsia"/>
                <w:color w:val="000000" w:themeColor="text1"/>
                <w:kern w:val="32"/>
                <w:sz w:val="28"/>
                <w:szCs w:val="36"/>
              </w:rPr>
              <w:t>68</w:t>
            </w:r>
          </w:p>
        </w:tc>
        <w:tc>
          <w:tcPr>
            <w:tcW w:w="2623" w:type="dxa"/>
          </w:tcPr>
          <w:p w:rsidR="00E46702" w:rsidRPr="00065D08" w:rsidRDefault="00E46702" w:rsidP="00E46702">
            <w:pPr>
              <w:outlineLvl w:val="3"/>
              <w:rPr>
                <w:rFonts w:hAnsi="Arial"/>
                <w:color w:val="000000" w:themeColor="text1"/>
                <w:kern w:val="32"/>
                <w:sz w:val="28"/>
                <w:szCs w:val="36"/>
              </w:rPr>
            </w:pPr>
            <w:r w:rsidRPr="00065D08">
              <w:rPr>
                <w:rFonts w:hAnsi="Arial" w:hint="eastAsia"/>
                <w:color w:val="000000" w:themeColor="text1"/>
                <w:kern w:val="32"/>
                <w:sz w:val="28"/>
                <w:szCs w:val="36"/>
              </w:rPr>
              <w:t>3</w:t>
            </w:r>
          </w:p>
        </w:tc>
        <w:tc>
          <w:tcPr>
            <w:tcW w:w="1757" w:type="dxa"/>
          </w:tcPr>
          <w:p w:rsidR="00E46702" w:rsidRPr="00065D08" w:rsidRDefault="00E46702" w:rsidP="00E46702">
            <w:pPr>
              <w:outlineLvl w:val="3"/>
              <w:rPr>
                <w:rFonts w:hAnsi="Arial"/>
                <w:color w:val="000000" w:themeColor="text1"/>
                <w:kern w:val="32"/>
                <w:sz w:val="28"/>
                <w:szCs w:val="36"/>
              </w:rPr>
            </w:pPr>
            <w:r w:rsidRPr="00065D08">
              <w:rPr>
                <w:rFonts w:hAnsi="Arial" w:hint="eastAsia"/>
                <w:color w:val="000000" w:themeColor="text1"/>
                <w:kern w:val="32"/>
                <w:sz w:val="28"/>
                <w:szCs w:val="36"/>
              </w:rPr>
              <w:t>3</w:t>
            </w:r>
          </w:p>
        </w:tc>
      </w:tr>
    </w:tbl>
    <w:p w:rsidR="00E46702" w:rsidRPr="00065D08" w:rsidRDefault="00E46702" w:rsidP="00E46702">
      <w:pPr>
        <w:ind w:left="1701"/>
        <w:outlineLvl w:val="3"/>
        <w:rPr>
          <w:rFonts w:hAnsi="Arial"/>
          <w:color w:val="000000" w:themeColor="text1"/>
          <w:kern w:val="32"/>
          <w:szCs w:val="36"/>
        </w:rPr>
      </w:pPr>
    </w:p>
    <w:p w:rsidR="00E46702" w:rsidRPr="00065D08" w:rsidRDefault="00E46702" w:rsidP="00E46702">
      <w:pPr>
        <w:numPr>
          <w:ilvl w:val="3"/>
          <w:numId w:val="1"/>
        </w:numPr>
        <w:outlineLvl w:val="3"/>
        <w:rPr>
          <w:rFonts w:hAnsi="Arial"/>
          <w:b/>
          <w:color w:val="000000" w:themeColor="text1"/>
          <w:kern w:val="32"/>
          <w:szCs w:val="36"/>
        </w:rPr>
      </w:pPr>
      <w:r w:rsidRPr="00065D08">
        <w:rPr>
          <w:rFonts w:hAnsi="Arial" w:hint="eastAsia"/>
          <w:b/>
          <w:color w:val="000000" w:themeColor="text1"/>
          <w:kern w:val="32"/>
          <w:szCs w:val="36"/>
        </w:rPr>
        <w:t>綜上，本時期徐仕瑋</w:t>
      </w:r>
      <w:r w:rsidR="00ED768A" w:rsidRPr="00065D08">
        <w:rPr>
          <w:rFonts w:hAnsi="Arial" w:hint="eastAsia"/>
          <w:b/>
          <w:color w:val="000000" w:themeColor="text1"/>
          <w:kern w:val="32"/>
          <w:szCs w:val="36"/>
        </w:rPr>
        <w:t>交與</w:t>
      </w:r>
      <w:r w:rsidRPr="00065D08">
        <w:rPr>
          <w:rFonts w:hAnsi="Arial" w:hint="eastAsia"/>
          <w:b/>
          <w:color w:val="000000" w:themeColor="text1"/>
          <w:kern w:val="32"/>
          <w:szCs w:val="36"/>
        </w:rPr>
        <w:t>檢察事務官辦理案件共89件，排除無法歸類者計有80件，其中有59件僅指引檢察事務官應製作之書類，較無具體作為，約佔74%，換言之，可推定徐仕瑋仍有相當程度投入偵查者，約為26%。其中經比較原本製作日期與檢察事務官簽報結案日期可推定由檢察事務官獨立完成書類並結案者有16件；推定交辦事項不完整者1件；拖延未結者2件；推定有辦案瑕疵者2件。此外，交叉比對檢察事務官製作之卷證分析報告書與由徐仕瑋製作之檢察書類，排除無法比對者</w:t>
      </w:r>
      <w:r w:rsidR="00F940BE" w:rsidRPr="00065D08">
        <w:rPr>
          <w:rFonts w:hAnsi="Arial" w:hint="eastAsia"/>
          <w:b/>
          <w:color w:val="000000" w:themeColor="text1"/>
          <w:kern w:val="32"/>
          <w:szCs w:val="36"/>
        </w:rPr>
        <w:t>之後，其餘</w:t>
      </w:r>
      <w:r w:rsidRPr="00065D08">
        <w:rPr>
          <w:rFonts w:hAnsi="Arial" w:hint="eastAsia"/>
          <w:b/>
          <w:color w:val="000000" w:themeColor="text1"/>
          <w:kern w:val="32"/>
          <w:szCs w:val="36"/>
        </w:rPr>
        <w:t>共71件中，有68件卷證分析報告書</w:t>
      </w:r>
      <w:r w:rsidR="00F940BE" w:rsidRPr="00065D08">
        <w:rPr>
          <w:rFonts w:hAnsi="Arial" w:hint="eastAsia"/>
          <w:b/>
          <w:color w:val="000000" w:themeColor="text1"/>
          <w:kern w:val="32"/>
          <w:szCs w:val="36"/>
        </w:rPr>
        <w:t>之內容</w:t>
      </w:r>
      <w:r w:rsidRPr="00065D08">
        <w:rPr>
          <w:rFonts w:hAnsi="Arial" w:hint="eastAsia"/>
          <w:b/>
          <w:color w:val="000000" w:themeColor="text1"/>
          <w:kern w:val="32"/>
          <w:szCs w:val="36"/>
        </w:rPr>
        <w:t>與檢察書類</w:t>
      </w:r>
      <w:r w:rsidR="00F940BE" w:rsidRPr="00065D08">
        <w:rPr>
          <w:rFonts w:hAnsi="Arial" w:hint="eastAsia"/>
          <w:b/>
          <w:color w:val="000000" w:themeColor="text1"/>
          <w:kern w:val="32"/>
          <w:szCs w:val="36"/>
        </w:rPr>
        <w:t>之</w:t>
      </w:r>
      <w:r w:rsidRPr="00065D08">
        <w:rPr>
          <w:rFonts w:hAnsi="Arial" w:hint="eastAsia"/>
          <w:b/>
          <w:color w:val="000000" w:themeColor="text1"/>
          <w:kern w:val="32"/>
          <w:szCs w:val="36"/>
        </w:rPr>
        <w:t>內容幾乎完全相同，約為96%。</w:t>
      </w:r>
    </w:p>
    <w:p w:rsidR="00E46702" w:rsidRPr="00065D08" w:rsidRDefault="00E46702" w:rsidP="00E46702">
      <w:pPr>
        <w:numPr>
          <w:ilvl w:val="2"/>
          <w:numId w:val="26"/>
        </w:numPr>
        <w:outlineLvl w:val="2"/>
        <w:rPr>
          <w:rFonts w:hAnsi="Arial"/>
          <w:bCs/>
          <w:color w:val="000000" w:themeColor="text1"/>
          <w:kern w:val="32"/>
          <w:szCs w:val="36"/>
        </w:rPr>
      </w:pPr>
      <w:r w:rsidRPr="00065D08">
        <w:rPr>
          <w:rFonts w:hAnsi="Arial" w:hint="eastAsia"/>
          <w:bCs/>
          <w:color w:val="000000" w:themeColor="text1"/>
          <w:kern w:val="32"/>
          <w:szCs w:val="36"/>
        </w:rPr>
        <w:t>另徐仕瑋任職於臺北地檢署期間，於103年8月</w:t>
      </w:r>
      <w:r w:rsidR="00ED768A" w:rsidRPr="00065D08">
        <w:rPr>
          <w:rFonts w:hAnsi="Arial" w:hint="eastAsia"/>
          <w:bCs/>
          <w:color w:val="000000" w:themeColor="text1"/>
          <w:kern w:val="32"/>
          <w:szCs w:val="36"/>
        </w:rPr>
        <w:t>交與</w:t>
      </w:r>
      <w:r w:rsidRPr="00065D08">
        <w:rPr>
          <w:rFonts w:hAnsi="Arial" w:hint="eastAsia"/>
          <w:bCs/>
          <w:color w:val="000000" w:themeColor="text1"/>
          <w:kern w:val="32"/>
          <w:szCs w:val="36"/>
        </w:rPr>
        <w:t>檢察事務官辦理案件數量較多，本院再調閱該期間內徐仕瑋辦案資料：</w:t>
      </w:r>
    </w:p>
    <w:p w:rsidR="00E46702" w:rsidRPr="00065D08" w:rsidRDefault="00E46702" w:rsidP="00E46702">
      <w:pPr>
        <w:numPr>
          <w:ilvl w:val="3"/>
          <w:numId w:val="1"/>
        </w:numPr>
        <w:outlineLvl w:val="3"/>
        <w:rPr>
          <w:rFonts w:hAnsi="Arial"/>
          <w:color w:val="000000" w:themeColor="text1"/>
          <w:kern w:val="32"/>
          <w:szCs w:val="36"/>
        </w:rPr>
      </w:pPr>
      <w:r w:rsidRPr="00065D08">
        <w:rPr>
          <w:rFonts w:hAnsi="Arial" w:hint="eastAsia"/>
          <w:color w:val="000000" w:themeColor="text1"/>
          <w:kern w:val="32"/>
          <w:szCs w:val="36"/>
        </w:rPr>
        <w:t>此時期徐仕瑋</w:t>
      </w:r>
      <w:r w:rsidR="00ED768A" w:rsidRPr="00065D08">
        <w:rPr>
          <w:rFonts w:hAnsi="Arial" w:hint="eastAsia"/>
          <w:color w:val="000000" w:themeColor="text1"/>
          <w:kern w:val="32"/>
          <w:szCs w:val="36"/>
        </w:rPr>
        <w:t>交與</w:t>
      </w:r>
      <w:r w:rsidRPr="00065D08">
        <w:rPr>
          <w:rFonts w:hAnsi="Arial" w:hint="eastAsia"/>
          <w:color w:val="000000" w:themeColor="text1"/>
          <w:kern w:val="32"/>
          <w:szCs w:val="36"/>
        </w:rPr>
        <w:t>檢察事務官辦理案件，僅有20宗已歸檔並經本院調閱，依該署所定編號序為1案件計算，其案件於分案後至完成相關檢察書類前，徐仕瑋有具體作為，或於交辦案件進行單中明確指示檢察事務官偵辦方向者，歸為1類，共計16件；而僅指引檢察事務官應製作之書類者，歸為1類，計3件；無法歸類者，計1件，表列如下：</w:t>
      </w:r>
    </w:p>
    <w:p w:rsidR="00E46702" w:rsidRPr="00065D08" w:rsidRDefault="00E46702" w:rsidP="00FF100E">
      <w:pPr>
        <w:pStyle w:val="a3"/>
        <w:ind w:firstLine="12"/>
        <w:jc w:val="center"/>
        <w:rPr>
          <w:b/>
          <w:color w:val="000000" w:themeColor="text1"/>
        </w:rPr>
      </w:pPr>
      <w:r w:rsidRPr="00065D08">
        <w:rPr>
          <w:rFonts w:hint="eastAsia"/>
          <w:b/>
          <w:color w:val="000000" w:themeColor="text1"/>
        </w:rPr>
        <w:t>103年8月徐仕瑋交辦案件逐案分析表</w:t>
      </w:r>
    </w:p>
    <w:tbl>
      <w:tblPr>
        <w:tblW w:w="0" w:type="auto"/>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2410"/>
        <w:gridCol w:w="2977"/>
        <w:gridCol w:w="1154"/>
      </w:tblGrid>
      <w:tr w:rsidR="00065D08" w:rsidRPr="00065D08" w:rsidTr="003D16ED">
        <w:tc>
          <w:tcPr>
            <w:tcW w:w="567" w:type="dxa"/>
          </w:tcPr>
          <w:p w:rsidR="00E46702" w:rsidRPr="00065D08" w:rsidRDefault="00E46702" w:rsidP="00E46702">
            <w:pPr>
              <w:outlineLvl w:val="3"/>
              <w:rPr>
                <w:rFonts w:hAnsi="Arial"/>
                <w:color w:val="000000" w:themeColor="text1"/>
                <w:kern w:val="32"/>
                <w:sz w:val="28"/>
                <w:szCs w:val="28"/>
              </w:rPr>
            </w:pPr>
          </w:p>
        </w:tc>
        <w:tc>
          <w:tcPr>
            <w:tcW w:w="1134" w:type="dxa"/>
          </w:tcPr>
          <w:p w:rsidR="00E46702" w:rsidRPr="00065D08" w:rsidRDefault="00E46702" w:rsidP="00E46702">
            <w:pPr>
              <w:outlineLvl w:val="3"/>
              <w:rPr>
                <w:rFonts w:hAnsi="Arial"/>
                <w:b/>
                <w:color w:val="000000" w:themeColor="text1"/>
                <w:kern w:val="32"/>
                <w:sz w:val="28"/>
                <w:szCs w:val="28"/>
              </w:rPr>
            </w:pPr>
            <w:r w:rsidRPr="00065D08">
              <w:rPr>
                <w:rFonts w:hAnsi="Arial" w:hint="eastAsia"/>
                <w:b/>
                <w:color w:val="000000" w:themeColor="text1"/>
                <w:kern w:val="32"/>
                <w:sz w:val="28"/>
                <w:szCs w:val="28"/>
              </w:rPr>
              <w:t>有具體作為</w:t>
            </w:r>
          </w:p>
        </w:tc>
        <w:tc>
          <w:tcPr>
            <w:tcW w:w="2410" w:type="dxa"/>
          </w:tcPr>
          <w:p w:rsidR="00E46702" w:rsidRPr="00065D08" w:rsidRDefault="00E46702" w:rsidP="00E46702">
            <w:pPr>
              <w:outlineLvl w:val="3"/>
              <w:rPr>
                <w:rFonts w:hAnsi="Arial"/>
                <w:b/>
                <w:color w:val="000000" w:themeColor="text1"/>
                <w:kern w:val="32"/>
                <w:sz w:val="28"/>
                <w:szCs w:val="28"/>
              </w:rPr>
            </w:pPr>
            <w:r w:rsidRPr="00065D08">
              <w:rPr>
                <w:rFonts w:hAnsi="Arial" w:hint="eastAsia"/>
                <w:b/>
                <w:color w:val="000000" w:themeColor="text1"/>
                <w:kern w:val="32"/>
                <w:sz w:val="28"/>
                <w:szCs w:val="28"/>
              </w:rPr>
              <w:t>交辦案件進行單明確指示檢察事務官偵辦方向</w:t>
            </w:r>
          </w:p>
        </w:tc>
        <w:tc>
          <w:tcPr>
            <w:tcW w:w="2977" w:type="dxa"/>
          </w:tcPr>
          <w:p w:rsidR="00E46702" w:rsidRPr="00065D08" w:rsidRDefault="00E46702" w:rsidP="00E46702">
            <w:pPr>
              <w:outlineLvl w:val="3"/>
              <w:rPr>
                <w:rFonts w:hAnsi="Arial"/>
                <w:b/>
                <w:color w:val="000000" w:themeColor="text1"/>
                <w:kern w:val="32"/>
                <w:sz w:val="28"/>
                <w:szCs w:val="28"/>
              </w:rPr>
            </w:pPr>
            <w:r w:rsidRPr="00065D08">
              <w:rPr>
                <w:rFonts w:hAnsi="Arial" w:hint="eastAsia"/>
                <w:b/>
                <w:color w:val="000000" w:themeColor="text1"/>
                <w:kern w:val="32"/>
                <w:sz w:val="28"/>
                <w:szCs w:val="28"/>
              </w:rPr>
              <w:t>交辦案件進行單僅指引檢察事務官應製作之書類</w:t>
            </w:r>
          </w:p>
        </w:tc>
        <w:tc>
          <w:tcPr>
            <w:tcW w:w="1154" w:type="dxa"/>
          </w:tcPr>
          <w:p w:rsidR="00E46702" w:rsidRPr="00065D08" w:rsidRDefault="00E46702" w:rsidP="00E46702">
            <w:pPr>
              <w:outlineLvl w:val="3"/>
              <w:rPr>
                <w:rFonts w:hAnsi="Arial"/>
                <w:b/>
                <w:color w:val="000000" w:themeColor="text1"/>
                <w:kern w:val="32"/>
                <w:sz w:val="28"/>
                <w:szCs w:val="28"/>
              </w:rPr>
            </w:pPr>
            <w:r w:rsidRPr="00065D08">
              <w:rPr>
                <w:rFonts w:hAnsi="Arial" w:hint="eastAsia"/>
                <w:b/>
                <w:color w:val="000000" w:themeColor="text1"/>
                <w:kern w:val="32"/>
                <w:sz w:val="28"/>
                <w:szCs w:val="28"/>
              </w:rPr>
              <w:t>無法歸類</w:t>
            </w:r>
          </w:p>
        </w:tc>
      </w:tr>
      <w:tr w:rsidR="00065D08" w:rsidRPr="00065D08" w:rsidTr="003D16ED">
        <w:tc>
          <w:tcPr>
            <w:tcW w:w="567" w:type="dxa"/>
          </w:tcPr>
          <w:p w:rsidR="00E46702" w:rsidRPr="00065D08" w:rsidRDefault="00E46702" w:rsidP="00E46702">
            <w:pPr>
              <w:outlineLvl w:val="3"/>
              <w:rPr>
                <w:rFonts w:hAnsi="Arial"/>
                <w:color w:val="000000" w:themeColor="text1"/>
                <w:kern w:val="32"/>
                <w:sz w:val="28"/>
                <w:szCs w:val="28"/>
              </w:rPr>
            </w:pPr>
            <w:r w:rsidRPr="00065D08">
              <w:rPr>
                <w:rFonts w:hAnsi="Arial" w:hint="eastAsia"/>
                <w:color w:val="000000" w:themeColor="text1"/>
                <w:kern w:val="32"/>
                <w:sz w:val="28"/>
                <w:szCs w:val="28"/>
              </w:rPr>
              <w:t>案</w:t>
            </w:r>
            <w:r w:rsidRPr="00065D08">
              <w:rPr>
                <w:rFonts w:hAnsi="Arial" w:hint="eastAsia"/>
                <w:color w:val="000000" w:themeColor="text1"/>
                <w:kern w:val="32"/>
                <w:sz w:val="28"/>
                <w:szCs w:val="28"/>
              </w:rPr>
              <w:lastRenderedPageBreak/>
              <w:t>件編號</w:t>
            </w:r>
          </w:p>
        </w:tc>
        <w:tc>
          <w:tcPr>
            <w:tcW w:w="1134" w:type="dxa"/>
          </w:tcPr>
          <w:p w:rsidR="00E46702" w:rsidRPr="00065D08" w:rsidRDefault="00E46702" w:rsidP="00E46702">
            <w:pPr>
              <w:kinsoku w:val="0"/>
              <w:overflowPunct/>
              <w:topLinePunct/>
              <w:autoSpaceDE/>
              <w:autoSpaceDN/>
              <w:jc w:val="left"/>
              <w:outlineLvl w:val="3"/>
              <w:rPr>
                <w:rFonts w:hAnsi="Arial"/>
                <w:color w:val="000000" w:themeColor="text1"/>
                <w:kern w:val="32"/>
                <w:sz w:val="28"/>
                <w:szCs w:val="28"/>
              </w:rPr>
            </w:pPr>
            <w:r w:rsidRPr="00065D08">
              <w:rPr>
                <w:rFonts w:hAnsi="Arial" w:hint="eastAsia"/>
                <w:color w:val="000000" w:themeColor="text1"/>
                <w:kern w:val="32"/>
                <w:sz w:val="28"/>
                <w:szCs w:val="28"/>
              </w:rPr>
              <w:lastRenderedPageBreak/>
              <w:t>1,4,7,</w:t>
            </w:r>
            <w:r w:rsidRPr="00065D08">
              <w:rPr>
                <w:rFonts w:hAnsi="Arial" w:hint="eastAsia"/>
                <w:color w:val="000000" w:themeColor="text1"/>
                <w:kern w:val="32"/>
                <w:sz w:val="28"/>
                <w:szCs w:val="28"/>
              </w:rPr>
              <w:lastRenderedPageBreak/>
              <w:t>12,13,14,16,17</w:t>
            </w:r>
          </w:p>
        </w:tc>
        <w:tc>
          <w:tcPr>
            <w:tcW w:w="2410" w:type="dxa"/>
          </w:tcPr>
          <w:p w:rsidR="00E46702" w:rsidRPr="00065D08" w:rsidRDefault="00E46702" w:rsidP="00E46702">
            <w:pPr>
              <w:kinsoku w:val="0"/>
              <w:overflowPunct/>
              <w:topLinePunct/>
              <w:autoSpaceDE/>
              <w:autoSpaceDN/>
              <w:jc w:val="left"/>
              <w:outlineLvl w:val="3"/>
              <w:rPr>
                <w:rFonts w:hAnsi="Arial"/>
                <w:color w:val="000000" w:themeColor="text1"/>
                <w:kern w:val="32"/>
                <w:sz w:val="28"/>
                <w:szCs w:val="28"/>
              </w:rPr>
            </w:pPr>
            <w:r w:rsidRPr="00065D08">
              <w:rPr>
                <w:rFonts w:hAnsi="Arial" w:hint="eastAsia"/>
                <w:color w:val="000000" w:themeColor="text1"/>
                <w:kern w:val="32"/>
                <w:sz w:val="28"/>
                <w:szCs w:val="28"/>
              </w:rPr>
              <w:lastRenderedPageBreak/>
              <w:t>2,6,8,9,11,15,</w:t>
            </w:r>
            <w:r w:rsidRPr="00065D08">
              <w:rPr>
                <w:rFonts w:hAnsi="Arial" w:hint="eastAsia"/>
                <w:color w:val="000000" w:themeColor="text1"/>
                <w:kern w:val="32"/>
                <w:sz w:val="28"/>
                <w:szCs w:val="28"/>
              </w:rPr>
              <w:lastRenderedPageBreak/>
              <w:t>18,19</w:t>
            </w:r>
          </w:p>
        </w:tc>
        <w:tc>
          <w:tcPr>
            <w:tcW w:w="2977" w:type="dxa"/>
          </w:tcPr>
          <w:p w:rsidR="00E46702" w:rsidRPr="00065D08" w:rsidRDefault="00E46702" w:rsidP="00E46702">
            <w:pPr>
              <w:kinsoku w:val="0"/>
              <w:overflowPunct/>
              <w:topLinePunct/>
              <w:autoSpaceDE/>
              <w:autoSpaceDN/>
              <w:jc w:val="left"/>
              <w:outlineLvl w:val="3"/>
              <w:rPr>
                <w:rFonts w:hAnsi="Arial"/>
                <w:color w:val="000000" w:themeColor="text1"/>
                <w:kern w:val="32"/>
                <w:sz w:val="28"/>
                <w:szCs w:val="28"/>
              </w:rPr>
            </w:pPr>
            <w:r w:rsidRPr="00065D08">
              <w:rPr>
                <w:rFonts w:hAnsi="Arial" w:hint="eastAsia"/>
                <w:color w:val="000000" w:themeColor="text1"/>
                <w:kern w:val="32"/>
                <w:sz w:val="28"/>
                <w:szCs w:val="28"/>
              </w:rPr>
              <w:lastRenderedPageBreak/>
              <w:t>3,5,10</w:t>
            </w:r>
          </w:p>
        </w:tc>
        <w:tc>
          <w:tcPr>
            <w:tcW w:w="1154" w:type="dxa"/>
          </w:tcPr>
          <w:p w:rsidR="00E46702" w:rsidRPr="00065D08" w:rsidRDefault="00E46702" w:rsidP="00E46702">
            <w:pPr>
              <w:kinsoku w:val="0"/>
              <w:overflowPunct/>
              <w:topLinePunct/>
              <w:autoSpaceDE/>
              <w:autoSpaceDN/>
              <w:jc w:val="left"/>
              <w:outlineLvl w:val="3"/>
              <w:rPr>
                <w:rFonts w:hAnsi="Arial"/>
                <w:color w:val="000000" w:themeColor="text1"/>
                <w:kern w:val="32"/>
                <w:sz w:val="28"/>
                <w:szCs w:val="28"/>
              </w:rPr>
            </w:pPr>
            <w:r w:rsidRPr="00065D08">
              <w:rPr>
                <w:rFonts w:hAnsi="Arial" w:hint="eastAsia"/>
                <w:color w:val="000000" w:themeColor="text1"/>
                <w:kern w:val="32"/>
                <w:sz w:val="28"/>
                <w:szCs w:val="28"/>
              </w:rPr>
              <w:t>20</w:t>
            </w:r>
          </w:p>
        </w:tc>
      </w:tr>
      <w:tr w:rsidR="00065D08" w:rsidRPr="00065D08" w:rsidTr="003D16ED">
        <w:tc>
          <w:tcPr>
            <w:tcW w:w="567" w:type="dxa"/>
          </w:tcPr>
          <w:p w:rsidR="00E46702" w:rsidRPr="00065D08" w:rsidRDefault="00E46702" w:rsidP="00E46702">
            <w:pPr>
              <w:outlineLvl w:val="3"/>
              <w:rPr>
                <w:rFonts w:hAnsi="Arial"/>
                <w:color w:val="000000" w:themeColor="text1"/>
                <w:kern w:val="32"/>
                <w:sz w:val="28"/>
                <w:szCs w:val="28"/>
              </w:rPr>
            </w:pPr>
            <w:r w:rsidRPr="00065D08">
              <w:rPr>
                <w:rFonts w:hAnsi="Arial" w:hint="eastAsia"/>
                <w:color w:val="000000" w:themeColor="text1"/>
                <w:kern w:val="32"/>
                <w:sz w:val="28"/>
                <w:szCs w:val="28"/>
              </w:rPr>
              <w:t>總計</w:t>
            </w:r>
          </w:p>
        </w:tc>
        <w:tc>
          <w:tcPr>
            <w:tcW w:w="1134" w:type="dxa"/>
          </w:tcPr>
          <w:p w:rsidR="00E46702" w:rsidRPr="00065D08" w:rsidRDefault="00E46702" w:rsidP="00E46702">
            <w:pPr>
              <w:outlineLvl w:val="3"/>
              <w:rPr>
                <w:rFonts w:hAnsi="Arial"/>
                <w:color w:val="000000" w:themeColor="text1"/>
                <w:kern w:val="32"/>
                <w:sz w:val="28"/>
                <w:szCs w:val="28"/>
              </w:rPr>
            </w:pPr>
            <w:r w:rsidRPr="00065D08">
              <w:rPr>
                <w:rFonts w:hAnsi="Arial" w:hint="eastAsia"/>
                <w:color w:val="000000" w:themeColor="text1"/>
                <w:kern w:val="32"/>
                <w:sz w:val="28"/>
                <w:szCs w:val="28"/>
              </w:rPr>
              <w:t>8</w:t>
            </w:r>
          </w:p>
        </w:tc>
        <w:tc>
          <w:tcPr>
            <w:tcW w:w="2410" w:type="dxa"/>
          </w:tcPr>
          <w:p w:rsidR="00E46702" w:rsidRPr="00065D08" w:rsidRDefault="00E46702" w:rsidP="00E46702">
            <w:pPr>
              <w:outlineLvl w:val="3"/>
              <w:rPr>
                <w:rFonts w:hAnsi="Arial"/>
                <w:color w:val="000000" w:themeColor="text1"/>
                <w:kern w:val="32"/>
                <w:sz w:val="28"/>
                <w:szCs w:val="28"/>
              </w:rPr>
            </w:pPr>
            <w:r w:rsidRPr="00065D08">
              <w:rPr>
                <w:rFonts w:hAnsi="Arial" w:hint="eastAsia"/>
                <w:color w:val="000000" w:themeColor="text1"/>
                <w:kern w:val="32"/>
                <w:sz w:val="28"/>
                <w:szCs w:val="28"/>
              </w:rPr>
              <w:t>8</w:t>
            </w:r>
          </w:p>
        </w:tc>
        <w:tc>
          <w:tcPr>
            <w:tcW w:w="2977" w:type="dxa"/>
          </w:tcPr>
          <w:p w:rsidR="00E46702" w:rsidRPr="00065D08" w:rsidRDefault="00E46702" w:rsidP="00E46702">
            <w:pPr>
              <w:outlineLvl w:val="3"/>
              <w:rPr>
                <w:rFonts w:hAnsi="Arial"/>
                <w:color w:val="000000" w:themeColor="text1"/>
                <w:kern w:val="32"/>
                <w:sz w:val="28"/>
                <w:szCs w:val="28"/>
              </w:rPr>
            </w:pPr>
            <w:r w:rsidRPr="00065D08">
              <w:rPr>
                <w:rFonts w:hAnsi="Arial" w:hint="eastAsia"/>
                <w:color w:val="000000" w:themeColor="text1"/>
                <w:kern w:val="32"/>
                <w:sz w:val="28"/>
                <w:szCs w:val="28"/>
              </w:rPr>
              <w:t>3</w:t>
            </w:r>
          </w:p>
        </w:tc>
        <w:tc>
          <w:tcPr>
            <w:tcW w:w="1154" w:type="dxa"/>
          </w:tcPr>
          <w:p w:rsidR="00E46702" w:rsidRPr="00065D08" w:rsidRDefault="00E46702" w:rsidP="00E46702">
            <w:pPr>
              <w:outlineLvl w:val="3"/>
              <w:rPr>
                <w:rFonts w:hAnsi="Arial"/>
                <w:color w:val="000000" w:themeColor="text1"/>
                <w:kern w:val="32"/>
                <w:sz w:val="28"/>
                <w:szCs w:val="28"/>
              </w:rPr>
            </w:pPr>
            <w:r w:rsidRPr="00065D08">
              <w:rPr>
                <w:rFonts w:hAnsi="Arial" w:hint="eastAsia"/>
                <w:color w:val="000000" w:themeColor="text1"/>
                <w:kern w:val="32"/>
                <w:sz w:val="28"/>
                <w:szCs w:val="28"/>
              </w:rPr>
              <w:t>1</w:t>
            </w:r>
          </w:p>
        </w:tc>
      </w:tr>
    </w:tbl>
    <w:p w:rsidR="00E46702" w:rsidRPr="00065D08" w:rsidRDefault="00E46702" w:rsidP="00E46702">
      <w:pPr>
        <w:spacing w:line="280" w:lineRule="exact"/>
        <w:ind w:leftChars="208" w:left="1133" w:hangingChars="193" w:hanging="425"/>
        <w:outlineLvl w:val="1"/>
        <w:rPr>
          <w:rFonts w:hAnsi="Arial"/>
          <w:bCs/>
          <w:color w:val="000000" w:themeColor="text1"/>
          <w:kern w:val="32"/>
          <w:sz w:val="20"/>
          <w:szCs w:val="28"/>
        </w:rPr>
      </w:pPr>
      <w:r w:rsidRPr="00065D08">
        <w:rPr>
          <w:rFonts w:hAnsi="Arial" w:hint="eastAsia"/>
          <w:bCs/>
          <w:color w:val="000000" w:themeColor="text1"/>
          <w:kern w:val="32"/>
          <w:sz w:val="20"/>
          <w:szCs w:val="28"/>
        </w:rPr>
        <w:t>註：1.如僅指引製作書類，但有具體作為者，僅歸計於具體作為。</w:t>
      </w:r>
      <w:r w:rsidRPr="00065D08">
        <w:rPr>
          <w:rFonts w:hAnsi="Arial"/>
          <w:bCs/>
          <w:color w:val="000000" w:themeColor="text1"/>
          <w:kern w:val="32"/>
          <w:sz w:val="20"/>
          <w:szCs w:val="28"/>
        </w:rPr>
        <w:br/>
      </w:r>
      <w:r w:rsidRPr="00065D08">
        <w:rPr>
          <w:rFonts w:hAnsi="Arial" w:hint="eastAsia"/>
          <w:bCs/>
          <w:color w:val="000000" w:themeColor="text1"/>
          <w:kern w:val="32"/>
          <w:sz w:val="20"/>
          <w:szCs w:val="28"/>
        </w:rPr>
        <w:t>2.如交辦單上已明確指示，且有具體作為者，亦僅歸計於具體作為。</w:t>
      </w:r>
    </w:p>
    <w:p w:rsidR="00E46702" w:rsidRPr="00065D08" w:rsidRDefault="00E46702" w:rsidP="00E46702">
      <w:pPr>
        <w:ind w:leftChars="208" w:left="1133" w:hangingChars="193" w:hanging="425"/>
        <w:outlineLvl w:val="1"/>
        <w:rPr>
          <w:rFonts w:hAnsi="Arial"/>
          <w:bCs/>
          <w:color w:val="000000" w:themeColor="text1"/>
          <w:kern w:val="32"/>
          <w:sz w:val="20"/>
          <w:szCs w:val="28"/>
        </w:rPr>
      </w:pPr>
    </w:p>
    <w:p w:rsidR="00E46702" w:rsidRPr="00065D08" w:rsidRDefault="00E46702" w:rsidP="00E46702">
      <w:pPr>
        <w:numPr>
          <w:ilvl w:val="3"/>
          <w:numId w:val="1"/>
        </w:numPr>
        <w:outlineLvl w:val="3"/>
        <w:rPr>
          <w:rFonts w:hAnsi="Arial"/>
          <w:color w:val="000000" w:themeColor="text1"/>
          <w:kern w:val="32"/>
          <w:szCs w:val="36"/>
        </w:rPr>
      </w:pPr>
      <w:r w:rsidRPr="00065D08">
        <w:rPr>
          <w:rFonts w:hAnsi="Arial" w:hint="eastAsia"/>
          <w:color w:val="000000" w:themeColor="text1"/>
          <w:kern w:val="32"/>
          <w:szCs w:val="36"/>
        </w:rPr>
        <w:t>本時期徐仕瑋</w:t>
      </w:r>
      <w:r w:rsidR="00ED768A" w:rsidRPr="00065D08">
        <w:rPr>
          <w:rFonts w:hAnsi="Arial" w:hint="eastAsia"/>
          <w:color w:val="000000" w:themeColor="text1"/>
          <w:kern w:val="32"/>
          <w:szCs w:val="36"/>
        </w:rPr>
        <w:t>交與</w:t>
      </w:r>
      <w:r w:rsidRPr="00065D08">
        <w:rPr>
          <w:rFonts w:hAnsi="Arial" w:hint="eastAsia"/>
          <w:color w:val="000000" w:themeColor="text1"/>
          <w:kern w:val="32"/>
          <w:szCs w:val="36"/>
        </w:rPr>
        <w:t>檢察事務官辦理案件，逐案檢視其內容後，發現有下列缺失：</w:t>
      </w:r>
    </w:p>
    <w:p w:rsidR="00E46702" w:rsidRPr="00065D08" w:rsidRDefault="00E46702" w:rsidP="00E46702">
      <w:pPr>
        <w:tabs>
          <w:tab w:val="left" w:pos="567"/>
        </w:tabs>
        <w:ind w:leftChars="500" w:left="1701" w:firstLineChars="200" w:firstLine="680"/>
        <w:rPr>
          <w:color w:val="000000" w:themeColor="text1"/>
          <w:kern w:val="32"/>
        </w:rPr>
      </w:pPr>
      <w:r w:rsidRPr="00065D08">
        <w:rPr>
          <w:rFonts w:hint="eastAsia"/>
          <w:color w:val="000000" w:themeColor="text1"/>
          <w:kern w:val="32"/>
        </w:rPr>
        <w:t>編號1案件，卷內雖無辦案進行單，然不起訴處分書原本之製作日期為3月12日，在檢察事務官交查案簽結日期（3月18日）之前，可推定此不起訴處分書為檢察事務官代作。</w:t>
      </w:r>
    </w:p>
    <w:p w:rsidR="00E46702" w:rsidRPr="00065D08" w:rsidRDefault="00E46702" w:rsidP="006A16EF">
      <w:pPr>
        <w:pStyle w:val="4"/>
        <w:rPr>
          <w:b/>
          <w:color w:val="000000" w:themeColor="text1"/>
        </w:rPr>
      </w:pPr>
      <w:r w:rsidRPr="00065D08">
        <w:rPr>
          <w:rFonts w:hint="eastAsia"/>
          <w:b/>
          <w:color w:val="000000" w:themeColor="text1"/>
        </w:rPr>
        <w:t>綜上，本時期徐仕瑋</w:t>
      </w:r>
      <w:r w:rsidR="00ED768A" w:rsidRPr="00065D08">
        <w:rPr>
          <w:rFonts w:hint="eastAsia"/>
          <w:b/>
          <w:color w:val="000000" w:themeColor="text1"/>
        </w:rPr>
        <w:t>交與</w:t>
      </w:r>
      <w:r w:rsidRPr="00065D08">
        <w:rPr>
          <w:rFonts w:hint="eastAsia"/>
          <w:b/>
          <w:color w:val="000000" w:themeColor="text1"/>
        </w:rPr>
        <w:t>檢察事務官辦理案件中，母體排除無法歸類者</w:t>
      </w:r>
      <w:r w:rsidR="002E1E64" w:rsidRPr="00065D08">
        <w:rPr>
          <w:rFonts w:hint="eastAsia"/>
          <w:b/>
          <w:color w:val="000000" w:themeColor="text1"/>
        </w:rPr>
        <w:t>之後，其餘</w:t>
      </w:r>
      <w:r w:rsidRPr="00065D08">
        <w:rPr>
          <w:rFonts w:hint="eastAsia"/>
          <w:b/>
          <w:color w:val="000000" w:themeColor="text1"/>
        </w:rPr>
        <w:t>共計19件，有1件僅指引檢察事務官應製作之書類，較無具體作為，約佔16%，換言之，可推定徐仕瑋仍有相當程度投入偵查者，約為84%。且其中有1件經比較原本製作日期與檢察事務官簽報結案日期而可推定由檢察事務官獨立完成書類並結案。</w:t>
      </w:r>
    </w:p>
    <w:p w:rsidR="00E46702" w:rsidRPr="00065D08" w:rsidRDefault="00E46702" w:rsidP="006A16EF">
      <w:pPr>
        <w:pStyle w:val="3"/>
        <w:rPr>
          <w:color w:val="000000" w:themeColor="text1"/>
        </w:rPr>
      </w:pPr>
      <w:r w:rsidRPr="00065D08">
        <w:rPr>
          <w:rFonts w:hint="eastAsia"/>
          <w:color w:val="000000" w:themeColor="text1"/>
        </w:rPr>
        <w:t>另按法院組織法第63條、第64條及第59條第2項規定，於我國檢察法制所採檢察行政與檢察事務二元化監督系統中，就地方法院檢察署之檢察事務，其個案監督係由檢察長、主任檢察官監督承辦檢察官所形成層級化監督，並依「</w:t>
      </w:r>
      <w:r w:rsidRPr="00065D08">
        <w:rPr>
          <w:color w:val="000000" w:themeColor="text1"/>
        </w:rPr>
        <w:t>地方法院檢察署檢察事務官事務分配要點</w:t>
      </w:r>
      <w:r w:rsidRPr="00065D08">
        <w:rPr>
          <w:rFonts w:hint="eastAsia"/>
          <w:color w:val="000000" w:themeColor="text1"/>
        </w:rPr>
        <w:t>」第3點規定，檢察事務官除受交辦檢察官指揮外，其承辦事務亦由主任或資深檢察官督導，由此構築偵查案件中「檢察長→主任檢察官→檢察官→檢察事務官」之個案交辦後之層級監督體系。再者，檢察官從事刑事訴追、主導偵查</w:t>
      </w:r>
      <w:r w:rsidRPr="00065D08">
        <w:rPr>
          <w:rFonts w:hint="eastAsia"/>
          <w:color w:val="000000" w:themeColor="text1"/>
        </w:rPr>
        <w:lastRenderedPageBreak/>
        <w:t>程序並獨占公訴之提起，乃至審判程序參與及判決執行之指揮，乃是國家法意志之展現，目的即為實現國家刑罰權。尤其有關偵查程序終結之處分書，乃為決定是否開啟人民須面臨法院審判、定罪與否之司法程序機制，更應審慎面對，故就檢察書類之內容，應嚴謹審核其內涵。</w:t>
      </w:r>
    </w:p>
    <w:p w:rsidR="00E46702" w:rsidRPr="00065D08" w:rsidRDefault="00250580" w:rsidP="006A16EF">
      <w:pPr>
        <w:pStyle w:val="3"/>
        <w:rPr>
          <w:color w:val="000000" w:themeColor="text1"/>
        </w:rPr>
      </w:pPr>
      <w:r w:rsidRPr="00065D08">
        <w:rPr>
          <w:rFonts w:hint="eastAsia"/>
          <w:color w:val="000000" w:themeColor="text1"/>
        </w:rPr>
        <w:t>在徐仕瑋交與檢察事務官辦理案件中，依上開分析，綜合</w:t>
      </w:r>
      <w:r w:rsidR="002E1E64" w:rsidRPr="00065D08">
        <w:rPr>
          <w:rFonts w:hint="eastAsia"/>
          <w:color w:val="000000" w:themeColor="text1"/>
        </w:rPr>
        <w:t>前述兩</w:t>
      </w:r>
      <w:r w:rsidRPr="00065D08">
        <w:rPr>
          <w:rFonts w:hint="eastAsia"/>
          <w:color w:val="000000" w:themeColor="text1"/>
        </w:rPr>
        <w:t>時期共有17件案卷之檢察書類原本製作日期，竟於檢察事務官簽報結案日之前，可推定檢察書類上所載原本製作日期錯誤。比諸裁判書類之誤寫、誤算，縱未對人民權益有所侵害，為昭鄭重，仍應以裁定更正（司法院釋字第43號解釋參照），則於上揭檢察書類，未核實登載原本製作時間，致與卷內檢察事務官報結簽文相互勾稽，可發現時序錯誤，而該署有監督權之各層次上級均未盡職責查出錯誤並予訂正，應有缺失。此外，就104年3月11日至16日之編號31及82案件，以法院審判中之處置反推回去檢視徐仕瑋之交辦後偵查作為，雖其偵查中之裁量並未違法，但應為瑕疵無訛，臺北地檢署有監督權之各層體系均未能發覺，未善盡檢察行政之監督責任，致影響偵訊階段人民訴訟權益，核有怠失。</w:t>
      </w:r>
    </w:p>
    <w:p w:rsidR="00E46702" w:rsidRPr="00065D08" w:rsidRDefault="00E46702" w:rsidP="006A16EF">
      <w:pPr>
        <w:pStyle w:val="3"/>
        <w:rPr>
          <w:color w:val="000000" w:themeColor="text1"/>
        </w:rPr>
      </w:pPr>
      <w:r w:rsidRPr="00065D08">
        <w:rPr>
          <w:rFonts w:hint="eastAsia"/>
          <w:color w:val="000000" w:themeColor="text1"/>
        </w:rPr>
        <w:t>再據本院詢問時任該署檢察長蔡碧玉稱：「因為徐仕瑋檢察官個人積案太多，交給其他檢事官，是為了要處理積案，是不得已；是行政管理必要手段。」及時任徐仕瑋之直屬主任檢察官孫治遠表示：「我早在103年11月我就一直跟徐仕瑋講，要把案件陸續交出來，當他丟1百多件，我們基於幫助他把積案清理，只好把案件給檢事官處理。」等語，可知該署為協助徐仕瑋清理積案，容許徐仕瑋將大量案</w:t>
      </w:r>
      <w:r w:rsidRPr="00065D08">
        <w:rPr>
          <w:rFonts w:hint="eastAsia"/>
          <w:color w:val="000000" w:themeColor="text1"/>
        </w:rPr>
        <w:lastRenderedPageBreak/>
        <w:t>件全權交由檢察事務官辦理，致使檢察事務官從檢察官「助手」成為檢察官「替手」，核欠妥當。</w:t>
      </w:r>
    </w:p>
    <w:p w:rsidR="00E46702" w:rsidRPr="00065D08" w:rsidRDefault="00614D09" w:rsidP="006A16EF">
      <w:pPr>
        <w:pStyle w:val="3"/>
        <w:rPr>
          <w:color w:val="000000" w:themeColor="text1"/>
        </w:rPr>
      </w:pPr>
      <w:r w:rsidRPr="00065D08">
        <w:rPr>
          <w:rFonts w:hint="eastAsia"/>
          <w:color w:val="000000" w:themeColor="text1"/>
        </w:rPr>
        <w:t>又經本院取樣調查，函請臺北地檢署查復該署將案件交與檢察事務官辦理數量前3名之檢察官，其等103年度之職務評定，均為「良好」，顯見交辦案件數量多寡並非檢察官職務評定</w:t>
      </w:r>
      <w:r w:rsidR="00391D27" w:rsidRPr="00065D08">
        <w:rPr>
          <w:rFonts w:hint="eastAsia"/>
          <w:color w:val="000000" w:themeColor="text1"/>
        </w:rPr>
        <w:t>所</w:t>
      </w:r>
      <w:r w:rsidRPr="00065D08">
        <w:rPr>
          <w:rFonts w:hint="eastAsia"/>
          <w:color w:val="000000" w:themeColor="text1"/>
        </w:rPr>
        <w:t>考量因素，查該署內部已流傳有所謂「全額交割股」，該署仍未將此種案件交辦過多情形列為職務評定之考量因素，對於用心辦案之檢察官</w:t>
      </w:r>
      <w:r w:rsidR="00391D27" w:rsidRPr="00065D08">
        <w:rPr>
          <w:rFonts w:hint="eastAsia"/>
          <w:color w:val="000000" w:themeColor="text1"/>
        </w:rPr>
        <w:t>實</w:t>
      </w:r>
      <w:r w:rsidRPr="00065D08">
        <w:rPr>
          <w:rFonts w:hint="eastAsia"/>
          <w:color w:val="000000" w:themeColor="text1"/>
        </w:rPr>
        <w:t>不公平。況該3名檢察官每月交辦案件，亦有遠高於新北地檢署交辦案件限制</w:t>
      </w:r>
      <w:r w:rsidR="00391D27" w:rsidRPr="00065D08">
        <w:rPr>
          <w:rFonts w:hint="eastAsia"/>
          <w:color w:val="000000" w:themeColor="text1"/>
        </w:rPr>
        <w:t>之</w:t>
      </w:r>
      <w:r w:rsidRPr="00065D08">
        <w:rPr>
          <w:rFonts w:hint="eastAsia"/>
          <w:color w:val="000000" w:themeColor="text1"/>
        </w:rPr>
        <w:t>情事，顯見縱依時任該署檢察長蔡碧玉所述，該署平均交辦件數低於新北地檢署，然無交辦案件數量限制，確實無法防杜檢察官濫用其可將案件交與檢察事務官辦理之權限，進而造成檢察官規避法院組織法第60條之檢察官職責，將上開職務輕率交由檢察事務官行使，有違職務分際。至該署105年1月12日職務評定會議紀錄記載，有檢察官提議就交辦檢察事務官之案件類型等資料，應於職務評定中增加提供，作為參考。此後續情形為何，實應追蹤其辦理成效</w:t>
      </w:r>
      <w:r w:rsidR="00E46702" w:rsidRPr="00065D08">
        <w:rPr>
          <w:rFonts w:hint="eastAsia"/>
          <w:color w:val="000000" w:themeColor="text1"/>
        </w:rPr>
        <w:t>。</w:t>
      </w:r>
    </w:p>
    <w:p w:rsidR="00E46702" w:rsidRPr="00065D08" w:rsidRDefault="00E46702" w:rsidP="006A16EF">
      <w:pPr>
        <w:pStyle w:val="3"/>
        <w:rPr>
          <w:color w:val="000000" w:themeColor="text1"/>
        </w:rPr>
      </w:pPr>
      <w:r w:rsidRPr="00065D08">
        <w:rPr>
          <w:rFonts w:hint="eastAsia"/>
          <w:color w:val="000000" w:themeColor="text1"/>
        </w:rPr>
        <w:t>檢察官偵查刑事案件之檢察事務，依檢察一體之原則，檢察總長及檢察長有法院組織法第63條及第64條所定之檢察事務指令權，是以檢察官依刑事訴訟法執行職務，係受檢察總長或其所屬檢察長之指揮監督（司法院釋字第530號解釋文參照）。惟檢察首長行使第64條之職務承繼權及職務移轉權，涉及案件的分辦及司法正義的實現，應在一定條件下審慎為之，始能避免外力或行政力量藉檢察首長的職務承繼權及職務移轉權進行個案干預（法官法第93條立法理由參照），故於100年7月6日公布、101年7月</w:t>
      </w:r>
      <w:r w:rsidRPr="00065D08">
        <w:rPr>
          <w:rFonts w:hint="eastAsia"/>
          <w:color w:val="000000" w:themeColor="text1"/>
        </w:rPr>
        <w:lastRenderedPageBreak/>
        <w:t>6日施行之法官法第93條第1項</w:t>
      </w:r>
      <w:r w:rsidRPr="00065D08">
        <w:rPr>
          <w:color w:val="000000" w:themeColor="text1"/>
          <w:vertAlign w:val="superscript"/>
        </w:rPr>
        <w:footnoteReference w:id="10"/>
      </w:r>
      <w:r w:rsidRPr="00065D08">
        <w:rPr>
          <w:rFonts w:hint="eastAsia"/>
          <w:color w:val="000000" w:themeColor="text1"/>
        </w:rPr>
        <w:t>規定，對檢察首長行使職務承繼權及職務移轉權設有限制。</w:t>
      </w:r>
    </w:p>
    <w:p w:rsidR="00E46702" w:rsidRPr="00065D08" w:rsidRDefault="006B0504" w:rsidP="006A16EF">
      <w:pPr>
        <w:pStyle w:val="3"/>
        <w:rPr>
          <w:color w:val="000000" w:themeColor="text1"/>
        </w:rPr>
      </w:pPr>
      <w:r w:rsidRPr="00065D08">
        <w:rPr>
          <w:rFonts w:hint="eastAsia"/>
          <w:color w:val="000000" w:themeColor="text1"/>
        </w:rPr>
        <w:t>按法官法第93條第1項第2款規定：「檢察總長、檢察長於有下列各款情形之一者，得依法院組織法第64條親自處理其所指揮監督之檢察官之事務，並得將該事務移轉於其所指揮監督之其他檢察官處理：……二、有事實足認檢察官執行職務違背法令、顯有不當或有偏頗之虞時。……」，故若檢察官因積案過多而濫用對於檢察事務官之指揮權限</w:t>
      </w:r>
      <w:r w:rsidR="00051E56" w:rsidRPr="00065D08">
        <w:rPr>
          <w:rFonts w:hint="eastAsia"/>
          <w:color w:val="000000" w:themeColor="text1"/>
        </w:rPr>
        <w:t>時</w:t>
      </w:r>
      <w:r w:rsidRPr="00065D08">
        <w:rPr>
          <w:rFonts w:hint="eastAsia"/>
          <w:color w:val="000000" w:themeColor="text1"/>
        </w:rPr>
        <w:t>，檢察首長即得依上開規定行使指揮職務承繼權及職務移轉權。</w:t>
      </w:r>
      <w:r w:rsidR="00E46702" w:rsidRPr="00065D08">
        <w:rPr>
          <w:rFonts w:hint="eastAsia"/>
          <w:color w:val="000000" w:themeColor="text1"/>
        </w:rPr>
        <w:t>然本案徐仕瑋自103年4月、11月起，未結案件數逾200件，檢察長除予提醒、關心外，本應以其積案過多而積極行使職務承繼權或移轉權，倘對積案過多之檢察官，不願行使該權限，而僅依「</w:t>
      </w:r>
      <w:r w:rsidR="00E46702" w:rsidRPr="00065D08">
        <w:rPr>
          <w:rFonts w:hAnsi="標楷體" w:hint="eastAsia"/>
          <w:color w:val="000000" w:themeColor="text1"/>
        </w:rPr>
        <w:t>檢察機關辦案期限及防止稽延實施要點」第5點</w:t>
      </w:r>
      <w:r w:rsidR="00E46702" w:rsidRPr="00065D08">
        <w:rPr>
          <w:rFonts w:hAnsi="標楷體"/>
          <w:color w:val="000000" w:themeColor="text1"/>
          <w:vertAlign w:val="superscript"/>
        </w:rPr>
        <w:footnoteReference w:id="11"/>
      </w:r>
      <w:r w:rsidR="00E46702" w:rsidRPr="00065D08">
        <w:rPr>
          <w:rFonts w:hAnsi="標楷體" w:hint="eastAsia"/>
          <w:color w:val="000000" w:themeColor="text1"/>
        </w:rPr>
        <w:t>、第44點</w:t>
      </w:r>
      <w:r w:rsidR="00E46702" w:rsidRPr="00065D08">
        <w:rPr>
          <w:rFonts w:hAnsi="標楷體"/>
          <w:color w:val="000000" w:themeColor="text1"/>
          <w:vertAlign w:val="superscript"/>
        </w:rPr>
        <w:footnoteReference w:id="12"/>
      </w:r>
      <w:r w:rsidR="00E46702" w:rsidRPr="00065D08">
        <w:rPr>
          <w:rFonts w:hAnsi="標楷體" w:hint="eastAsia"/>
          <w:color w:val="000000" w:themeColor="text1"/>
        </w:rPr>
        <w:t>規定，</w:t>
      </w:r>
      <w:r w:rsidR="00E46702" w:rsidRPr="00065D08">
        <w:rPr>
          <w:rFonts w:hint="eastAsia"/>
          <w:color w:val="000000" w:themeColor="text1"/>
        </w:rPr>
        <w:t>就稽延案件扣減檢察官辦</w:t>
      </w:r>
      <w:r w:rsidR="00E46702" w:rsidRPr="00065D08">
        <w:rPr>
          <w:rFonts w:hint="eastAsia"/>
          <w:color w:val="000000" w:themeColor="text1"/>
        </w:rPr>
        <w:lastRenderedPageBreak/>
        <w:t>案成績，或由檢察長發命令促其注意或警告，必要時並得調整其職務或報請調整至事務較簡之檢察機關，可能仍無助於疏減積累之案件。從本案臺北地檢署之處理方式觀之，如檢察長不善盡指揮監督權，僅能依靠積案檢察官自力或</w:t>
      </w:r>
      <w:r w:rsidR="00ED768A" w:rsidRPr="00065D08">
        <w:rPr>
          <w:rFonts w:hint="eastAsia"/>
          <w:color w:val="000000" w:themeColor="text1"/>
        </w:rPr>
        <w:t>交與</w:t>
      </w:r>
      <w:r w:rsidR="00E46702" w:rsidRPr="00065D08">
        <w:rPr>
          <w:rFonts w:hint="eastAsia"/>
          <w:color w:val="000000" w:themeColor="text1"/>
        </w:rPr>
        <w:t>檢察事務官辦理方式來解決積案，終將因檢察官在每一個案中無法投入更多心力進行偵查，導致辦案品質降低，而無法確保人民訴訟權益，更係對檢察一體原則之戕害，非屬正辦。</w:t>
      </w:r>
    </w:p>
    <w:p w:rsidR="00E46702" w:rsidRPr="00065D08" w:rsidRDefault="00E46702" w:rsidP="006A16EF">
      <w:pPr>
        <w:pStyle w:val="3"/>
        <w:rPr>
          <w:color w:val="000000" w:themeColor="text1"/>
        </w:rPr>
      </w:pPr>
      <w:r w:rsidRPr="00065D08">
        <w:rPr>
          <w:rFonts w:hint="eastAsia"/>
          <w:color w:val="000000" w:themeColor="text1"/>
        </w:rPr>
        <w:t>綜上，</w:t>
      </w:r>
      <w:r w:rsidR="002E45A1" w:rsidRPr="00065D08">
        <w:rPr>
          <w:rFonts w:hint="eastAsia"/>
          <w:color w:val="000000" w:themeColor="text1"/>
        </w:rPr>
        <w:t>檢察事務官原依法院組織法第66條之3係「襄助」檢察官職務，並視為「司法警察官」，然臺北地檢署未明確規範檢察事務官辦理案件類型及數量限制，放任檢察官可無上限地將案件交與檢察事務官辦理，作為清理積案方法，已有不妥；復就徐仕瑋檢察官交與檢察事務官辦理之案件，該署之各層級監督體系未能確實管控辦案品質，且未落實被告偵訊階段之訴訟權益保護，實有怠察之失。在個別檢察官積案過多時，該署檢察首長未依法官法第93條第1項第2款、第94條等規定，行使相關之指揮監督權，竟任由積案過多之檢察官將大量案件交與檢察事務官辦理，致使檢察事務官成為檢察官之分身，實際代行檢察官偵查職權，進而由檢察事務官製作「卷證分析報告」使檢察官得輕易轉製成檢察書類報結，核有嚴重違失。且該署對於檢察官將大量案件交與檢察事務官辦理之情形，並未列入檢察官職務評定之考據，形同默許上開混淆職務分際之作為，對於用心辦案之檢察官</w:t>
      </w:r>
      <w:r w:rsidR="00391D27" w:rsidRPr="00065D08">
        <w:rPr>
          <w:rFonts w:hint="eastAsia"/>
          <w:color w:val="000000" w:themeColor="text1"/>
        </w:rPr>
        <w:t>實</w:t>
      </w:r>
      <w:r w:rsidR="002E45A1" w:rsidRPr="00065D08">
        <w:rPr>
          <w:rFonts w:hint="eastAsia"/>
          <w:color w:val="000000" w:themeColor="text1"/>
        </w:rPr>
        <w:t>不公平，亦應檢討改進。</w:t>
      </w:r>
    </w:p>
    <w:p w:rsidR="00E46702" w:rsidRPr="00065D08" w:rsidRDefault="00E46702" w:rsidP="00E46702">
      <w:pPr>
        <w:tabs>
          <w:tab w:val="left" w:pos="567"/>
        </w:tabs>
        <w:ind w:leftChars="200" w:left="680" w:firstLineChars="200" w:firstLine="680"/>
        <w:rPr>
          <w:color w:val="000000" w:themeColor="text1"/>
          <w:kern w:val="32"/>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065D08">
        <w:rPr>
          <w:color w:val="000000" w:themeColor="text1"/>
          <w:kern w:val="32"/>
        </w:rPr>
        <w:br w:type="page"/>
      </w:r>
      <w:bookmarkStart w:id="51" w:name="_Toc524902730"/>
      <w:bookmarkEnd w:id="41"/>
      <w:bookmarkEnd w:id="42"/>
      <w:bookmarkEnd w:id="43"/>
      <w:bookmarkEnd w:id="44"/>
      <w:bookmarkEnd w:id="45"/>
      <w:bookmarkEnd w:id="46"/>
      <w:bookmarkEnd w:id="47"/>
      <w:bookmarkEnd w:id="48"/>
      <w:bookmarkEnd w:id="49"/>
      <w:bookmarkEnd w:id="50"/>
      <w:r w:rsidRPr="00065D08">
        <w:rPr>
          <w:rFonts w:hint="eastAsia"/>
          <w:color w:val="000000" w:themeColor="text1"/>
          <w:kern w:val="32"/>
        </w:rPr>
        <w:lastRenderedPageBreak/>
        <w:t>綜上所述，</w:t>
      </w:r>
      <w:r w:rsidR="00C41193" w:rsidRPr="00065D08">
        <w:rPr>
          <w:rFonts w:hint="eastAsia"/>
          <w:color w:val="000000" w:themeColor="text1"/>
        </w:rPr>
        <w:t>法務部訂頒「地方法院檢察署檢察事務官事務分配要點」第4點第1款、第5款規定</w:t>
      </w:r>
      <w:r w:rsidR="00B66E1D" w:rsidRPr="00065D08">
        <w:rPr>
          <w:rFonts w:hint="eastAsia"/>
          <w:color w:val="000000" w:themeColor="text1"/>
        </w:rPr>
        <w:t>，</w:t>
      </w:r>
      <w:r w:rsidR="00C41193" w:rsidRPr="00065D08">
        <w:rPr>
          <w:rFonts w:hint="eastAsia"/>
          <w:color w:val="000000" w:themeColor="text1"/>
        </w:rPr>
        <w:t>容任偵查中「例行性事務」之特定類型案件，得直接由檢察事務官實施偵查、提起公訴等作為，與法院組織法設置檢察事務官制度目的</w:t>
      </w:r>
      <w:r w:rsidR="005C5D94" w:rsidRPr="00065D08">
        <w:rPr>
          <w:rFonts w:hint="eastAsia"/>
          <w:color w:val="000000" w:themeColor="text1"/>
        </w:rPr>
        <w:t>有</w:t>
      </w:r>
      <w:r w:rsidR="00C41193" w:rsidRPr="00065D08">
        <w:rPr>
          <w:rFonts w:hint="eastAsia"/>
          <w:color w:val="000000" w:themeColor="text1"/>
        </w:rPr>
        <w:t>違。臺北地檢署未明確限制檢察事務官辦理案件數量，且檢察首長未依法官法第93</w:t>
      </w:r>
      <w:r w:rsidR="006B0504" w:rsidRPr="00065D08">
        <w:rPr>
          <w:rFonts w:hint="eastAsia"/>
          <w:color w:val="000000" w:themeColor="text1"/>
        </w:rPr>
        <w:t>條第1項第2款、第</w:t>
      </w:r>
      <w:r w:rsidR="00C41193" w:rsidRPr="00065D08">
        <w:rPr>
          <w:rFonts w:hint="eastAsia"/>
          <w:color w:val="000000" w:themeColor="text1"/>
        </w:rPr>
        <w:t>94</w:t>
      </w:r>
      <w:r w:rsidR="005C5D94" w:rsidRPr="00065D08">
        <w:rPr>
          <w:rFonts w:hint="eastAsia"/>
          <w:color w:val="000000" w:themeColor="text1"/>
        </w:rPr>
        <w:t>條</w:t>
      </w:r>
      <w:r w:rsidR="00C41193" w:rsidRPr="00065D08">
        <w:rPr>
          <w:rFonts w:hint="eastAsia"/>
          <w:color w:val="000000" w:themeColor="text1"/>
        </w:rPr>
        <w:t>等規定，對於積案過多之檢察官，行使相關之指揮監督權，放任檢察官可以無上限地將案件</w:t>
      </w:r>
      <w:r w:rsidR="00ED768A" w:rsidRPr="00065D08">
        <w:rPr>
          <w:rFonts w:hint="eastAsia"/>
          <w:color w:val="000000" w:themeColor="text1"/>
        </w:rPr>
        <w:t>交與</w:t>
      </w:r>
      <w:r w:rsidR="00C41193" w:rsidRPr="00065D08">
        <w:rPr>
          <w:rFonts w:hint="eastAsia"/>
          <w:color w:val="000000" w:themeColor="text1"/>
        </w:rPr>
        <w:t>檢察事務官辦理，作為清理積案方法；且就徐仕瑋檢察官</w:t>
      </w:r>
      <w:r w:rsidR="00ED768A" w:rsidRPr="00065D08">
        <w:rPr>
          <w:rFonts w:hint="eastAsia"/>
          <w:color w:val="000000" w:themeColor="text1"/>
        </w:rPr>
        <w:t>交與</w:t>
      </w:r>
      <w:r w:rsidR="00C41193" w:rsidRPr="00065D08">
        <w:rPr>
          <w:rFonts w:hint="eastAsia"/>
          <w:color w:val="000000" w:themeColor="text1"/>
        </w:rPr>
        <w:t>檢察事務官辦理之案件，未能確實管控辦案品質，以致未發覺案卷文書有時序錯誤之瑕疵</w:t>
      </w:r>
      <w:r w:rsidRPr="00065D08">
        <w:rPr>
          <w:rFonts w:hint="eastAsia"/>
          <w:color w:val="000000" w:themeColor="text1"/>
          <w:kern w:val="32"/>
        </w:rPr>
        <w:t>。以上機關均核有違失，爰依監察法第24條規定提案糾正，移送</w:t>
      </w:r>
      <w:r w:rsidR="00E7261B" w:rsidRPr="00065D08">
        <w:rPr>
          <w:rFonts w:hint="eastAsia"/>
          <w:color w:val="000000" w:themeColor="text1"/>
          <w:kern w:val="32"/>
        </w:rPr>
        <w:t>行政院</w:t>
      </w:r>
      <w:r w:rsidRPr="00065D08">
        <w:rPr>
          <w:rFonts w:hint="eastAsia"/>
          <w:color w:val="000000" w:themeColor="text1"/>
          <w:kern w:val="32"/>
        </w:rPr>
        <w:t>轉飭所屬確實檢討改善見復。</w:t>
      </w:r>
      <w:bookmarkStart w:id="52" w:name="_GoBack"/>
      <w:bookmarkEnd w:id="51"/>
      <w:bookmarkEnd w:id="52"/>
    </w:p>
    <w:sectPr w:rsidR="00E46702" w:rsidRPr="00065D08" w:rsidSect="00931A1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587" w:rsidRDefault="00513587">
      <w:r>
        <w:separator/>
      </w:r>
    </w:p>
  </w:endnote>
  <w:endnote w:type="continuationSeparator" w:id="0">
    <w:p w:rsidR="00513587" w:rsidRDefault="0051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528E3">
      <w:rPr>
        <w:rStyle w:val="ac"/>
        <w:noProof/>
        <w:sz w:val="24"/>
      </w:rPr>
      <w:t>23</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587" w:rsidRDefault="00513587">
      <w:r>
        <w:separator/>
      </w:r>
    </w:p>
  </w:footnote>
  <w:footnote w:type="continuationSeparator" w:id="0">
    <w:p w:rsidR="00513587" w:rsidRDefault="00513587">
      <w:r>
        <w:continuationSeparator/>
      </w:r>
    </w:p>
  </w:footnote>
  <w:footnote w:id="1">
    <w:p w:rsidR="00E46702" w:rsidRPr="00F97099" w:rsidRDefault="00E46702" w:rsidP="00E46702">
      <w:pPr>
        <w:pStyle w:val="afa"/>
        <w:rPr>
          <w:color w:val="000000" w:themeColor="text1"/>
        </w:rPr>
      </w:pPr>
      <w:r w:rsidRPr="00F97099">
        <w:rPr>
          <w:rStyle w:val="afc"/>
          <w:color w:val="000000" w:themeColor="text1"/>
        </w:rPr>
        <w:footnoteRef/>
      </w:r>
      <w:r w:rsidRPr="00F97099">
        <w:rPr>
          <w:rFonts w:hint="eastAsia"/>
          <w:color w:val="000000" w:themeColor="text1"/>
        </w:rPr>
        <w:t xml:space="preserve"> 1.申告案件為社會矚目或重大案件，檢察官仍應親自受理。2.司法警察機關移送之被告、拘提或通緝到案之被告，應由檢察官親自訊問並為強制處分。3.疑為他殺、車禍、醫療糾紛及其他重大繁雜之相驗案件，應由檢察官親自相驗。4.解剖屍體，應由檢察官命醫師行之。</w:t>
      </w:r>
    </w:p>
  </w:footnote>
  <w:footnote w:id="2">
    <w:p w:rsidR="00483ACE" w:rsidRPr="00483ACE" w:rsidRDefault="00483ACE">
      <w:pPr>
        <w:pStyle w:val="afa"/>
      </w:pPr>
      <w:r>
        <w:rPr>
          <w:rStyle w:val="afc"/>
        </w:rPr>
        <w:footnoteRef/>
      </w:r>
      <w:r>
        <w:t xml:space="preserve"> </w:t>
      </w:r>
      <w:r>
        <w:rPr>
          <w:rFonts w:hint="eastAsia"/>
        </w:rPr>
        <w:t>法務部105年4月15日法人字第10500547320號函。</w:t>
      </w:r>
    </w:p>
  </w:footnote>
  <w:footnote w:id="3">
    <w:p w:rsidR="00F456EB" w:rsidRPr="00F456EB" w:rsidRDefault="00F456EB">
      <w:pPr>
        <w:pStyle w:val="afa"/>
      </w:pPr>
      <w:r>
        <w:rPr>
          <w:rStyle w:val="afc"/>
        </w:rPr>
        <w:footnoteRef/>
      </w:r>
      <w:r>
        <w:rPr>
          <w:rFonts w:hint="eastAsia"/>
        </w:rPr>
        <w:t xml:space="preserve"> 法務部105年7月25日法人字第10508511210號函。</w:t>
      </w:r>
    </w:p>
  </w:footnote>
  <w:footnote w:id="4">
    <w:p w:rsidR="00E46702" w:rsidRPr="00F97099" w:rsidRDefault="00E46702" w:rsidP="00E46702">
      <w:pPr>
        <w:pStyle w:val="afa"/>
        <w:rPr>
          <w:color w:val="000000" w:themeColor="text1"/>
        </w:rPr>
      </w:pPr>
      <w:r w:rsidRPr="00F97099">
        <w:rPr>
          <w:rStyle w:val="afc"/>
          <w:color w:val="000000" w:themeColor="text1"/>
        </w:rPr>
        <w:footnoteRef/>
      </w:r>
      <w:r w:rsidRPr="00F97099">
        <w:rPr>
          <w:rFonts w:hint="eastAsia"/>
          <w:color w:val="000000" w:themeColor="text1"/>
        </w:rPr>
        <w:t xml:space="preserve"> 以職級415俸點相較，檢察事務官薪資約為檢察官薪資0.78倍；550俸點相較，檢察事務官薪資約為檢察官薪資0.76倍；710俸點相較，檢察事務官薪資約為檢察官薪資0.61倍。</w:t>
      </w:r>
    </w:p>
  </w:footnote>
  <w:footnote w:id="5">
    <w:p w:rsidR="00E46702" w:rsidRPr="00F97099" w:rsidRDefault="00E46702" w:rsidP="00E46702">
      <w:pPr>
        <w:pStyle w:val="afa"/>
        <w:rPr>
          <w:color w:val="000000" w:themeColor="text1"/>
        </w:rPr>
      </w:pPr>
      <w:r w:rsidRPr="00F97099">
        <w:rPr>
          <w:rStyle w:val="afc"/>
          <w:color w:val="000000" w:themeColor="text1"/>
        </w:rPr>
        <w:footnoteRef/>
      </w:r>
      <w:r w:rsidRPr="00F97099">
        <w:rPr>
          <w:color w:val="000000" w:themeColor="text1"/>
        </w:rPr>
        <w:t xml:space="preserve"> </w:t>
      </w:r>
      <w:r w:rsidRPr="00F97099">
        <w:rPr>
          <w:rFonts w:hint="eastAsia"/>
          <w:color w:val="000000" w:themeColor="text1"/>
        </w:rPr>
        <w:t>醫師法第11條第1項本文：「醫師非親自診察，不得施行治療、開給方劑或交付診斷書。」</w:t>
      </w:r>
    </w:p>
  </w:footnote>
  <w:footnote w:id="6">
    <w:p w:rsidR="00E46702" w:rsidRPr="00F97099" w:rsidRDefault="00E46702" w:rsidP="00E46702">
      <w:pPr>
        <w:pStyle w:val="afa"/>
        <w:rPr>
          <w:color w:val="000000" w:themeColor="text1"/>
        </w:rPr>
      </w:pPr>
      <w:r w:rsidRPr="00F97099">
        <w:rPr>
          <w:rStyle w:val="afc"/>
          <w:color w:val="000000" w:themeColor="text1"/>
        </w:rPr>
        <w:footnoteRef/>
      </w:r>
      <w:r w:rsidRPr="00F97099">
        <w:rPr>
          <w:color w:val="000000" w:themeColor="text1"/>
        </w:rPr>
        <w:t xml:space="preserve"> </w:t>
      </w:r>
      <w:r w:rsidRPr="00F97099">
        <w:rPr>
          <w:rFonts w:hint="eastAsia"/>
          <w:color w:val="000000" w:themeColor="text1"/>
        </w:rPr>
        <w:t>刑法第19條：「（第1項）行為時因精神障礙或其他心智缺陷，致不能辨識其行為違法或欠缺依其辨識而行為之能力者，不罰。（第2項）行為時因前項之原因，致其辨識行為違法或依其辨識而行為之能力，顯著減低者，得減輕其刑。（第3項）前2項規定，於因故意或過失自行招致者，不適用之。」</w:t>
      </w:r>
    </w:p>
  </w:footnote>
  <w:footnote w:id="7">
    <w:p w:rsidR="00E46702" w:rsidRPr="00F97099" w:rsidRDefault="00E46702" w:rsidP="00E46702">
      <w:pPr>
        <w:pStyle w:val="afa"/>
        <w:rPr>
          <w:color w:val="000000" w:themeColor="text1"/>
        </w:rPr>
      </w:pPr>
      <w:r w:rsidRPr="000930C7">
        <w:footnoteRef/>
      </w:r>
      <w:r w:rsidRPr="00F97099">
        <w:rPr>
          <w:rFonts w:hint="eastAsia"/>
          <w:color w:val="000000" w:themeColor="text1"/>
        </w:rPr>
        <w:t xml:space="preserve"> 刑事訴訟法第451條之1第4項但書第3款：「第1項及前項情形，法院應於檢察官求刑或緩刑宣告請求之範圍內為判決，但有左列情形之一者，不在此限︰……三、法院於審理後，認應為無罪、免訴、不受理或管轄錯誤判決之諭知者。」</w:t>
      </w:r>
    </w:p>
  </w:footnote>
  <w:footnote w:id="8">
    <w:p w:rsidR="00E46702" w:rsidRPr="00F97099" w:rsidRDefault="00E46702" w:rsidP="00E46702">
      <w:pPr>
        <w:pStyle w:val="afa"/>
        <w:rPr>
          <w:color w:val="000000" w:themeColor="text1"/>
        </w:rPr>
      </w:pPr>
      <w:r w:rsidRPr="000930C7">
        <w:footnoteRef/>
      </w:r>
      <w:r w:rsidRPr="00F97099">
        <w:rPr>
          <w:color w:val="000000" w:themeColor="text1"/>
        </w:rPr>
        <w:t xml:space="preserve"> </w:t>
      </w:r>
      <w:r w:rsidRPr="00F97099">
        <w:rPr>
          <w:rFonts w:hint="eastAsia"/>
          <w:color w:val="000000" w:themeColor="text1"/>
        </w:rPr>
        <w:t>刑事訴訟法第451條之1第4項但書第1款：「第1項及前項情形，法院應於檢察官求刑或緩刑宣告請求之範圍內為判決，但有左列情形之一者，不在此限︰一、被告所犯之罪不合第449條所定得以簡易判決處刑之案件者。……」</w:t>
      </w:r>
    </w:p>
  </w:footnote>
  <w:footnote w:id="9">
    <w:p w:rsidR="00E46702" w:rsidRPr="00F97099" w:rsidRDefault="00E46702" w:rsidP="00E46702">
      <w:pPr>
        <w:pStyle w:val="afa"/>
        <w:rPr>
          <w:color w:val="000000" w:themeColor="text1"/>
        </w:rPr>
      </w:pPr>
      <w:r w:rsidRPr="000930C7">
        <w:footnoteRef/>
      </w:r>
      <w:r w:rsidRPr="00F97099">
        <w:rPr>
          <w:color w:val="000000" w:themeColor="text1"/>
        </w:rPr>
        <w:t xml:space="preserve"> </w:t>
      </w:r>
      <w:r w:rsidRPr="00F97099">
        <w:rPr>
          <w:rFonts w:hint="eastAsia"/>
          <w:color w:val="000000" w:themeColor="text1"/>
        </w:rPr>
        <w:t>刑事訴訟法452條：「檢察官聲請以簡易判決處刑之案件，經法院認為有第451條之1第4項但書之情形者，應適用通常程序審判之。」</w:t>
      </w:r>
    </w:p>
  </w:footnote>
  <w:footnote w:id="10">
    <w:p w:rsidR="00E46702" w:rsidRPr="000930C7" w:rsidRDefault="00E46702" w:rsidP="00E46702">
      <w:pPr>
        <w:pStyle w:val="afa"/>
        <w:rPr>
          <w:color w:val="000000" w:themeColor="text1"/>
        </w:rPr>
      </w:pPr>
      <w:r w:rsidRPr="000930C7">
        <w:footnoteRef/>
      </w:r>
      <w:r w:rsidRPr="000930C7">
        <w:rPr>
          <w:rFonts w:hint="eastAsia"/>
          <w:color w:val="000000" w:themeColor="text1"/>
        </w:rPr>
        <w:t xml:space="preserve"> 法官法第93條：「（第1項）檢察總長、檢察長於有下列各款情形之一者，得依法院組織法第64條親自處理其所指揮監督之檢察官之事務，並得將該事務移轉於其所指揮監督之其他檢察官處理：一、為求法律適用之妥適或統一追訴標準，認有必要時。二、有事實足認檢察官執行職務違背法令、顯有不當或有偏頗之虞時。三、檢察官不同意前條第二項之書面命令，經以書面陳述意見後，指揮監督長官維持原命令，其仍不遵從。四、特殊複雜或專業之案件，原檢察官無法勝任，認有移轉予其他檢察官處理之必要時。</w:t>
      </w:r>
      <w:r w:rsidRPr="000930C7">
        <w:rPr>
          <w:color w:val="000000" w:themeColor="text1"/>
        </w:rPr>
        <w:t>」</w:t>
      </w:r>
    </w:p>
  </w:footnote>
  <w:footnote w:id="11">
    <w:p w:rsidR="00E46702" w:rsidRPr="00F97099" w:rsidRDefault="00E46702" w:rsidP="00E46702">
      <w:pPr>
        <w:pStyle w:val="afa"/>
        <w:rPr>
          <w:color w:val="000000" w:themeColor="text1"/>
        </w:rPr>
      </w:pPr>
      <w:r w:rsidRPr="000930C7">
        <w:footnoteRef/>
      </w:r>
      <w:r w:rsidRPr="00F97099">
        <w:rPr>
          <w:color w:val="000000" w:themeColor="text1"/>
        </w:rPr>
        <w:t xml:space="preserve"> </w:t>
      </w:r>
      <w:r w:rsidRPr="00F97099">
        <w:rPr>
          <w:rFonts w:hint="eastAsia"/>
          <w:color w:val="000000" w:themeColor="text1"/>
        </w:rPr>
        <w:t>「檢察機關辦案期限及防止稽延實施要點」第5點：「（第1項）偵查案件，需經調查而終結者，應於收案後儘速指定期日偵訊或為其他調查行為，但因拘提、通緝、鑑定、囑託訊問、提取文件，或諮詢意見或其他必要情形而不能即時指定期日者，應於原因消滅後儘速指定之。（第2項）經偵訊或為其他調查後不能終結者，應當庭指定期日或於書記官將筆錄整理完畢送請核閱後儘速再指定期日或接續為其他調查行為。（第3項）第一審法院檢察署檢察官對於偵查案件無第34點第2項所列正當事由逾3個月未進行調查者，依『高等法院及其分院檢察署檢察官辦案成績考查實施要點規定』扣減其辦案成績。」</w:t>
      </w:r>
    </w:p>
  </w:footnote>
  <w:footnote w:id="12">
    <w:p w:rsidR="00E46702" w:rsidRPr="00F97099" w:rsidRDefault="00E46702" w:rsidP="00E46702">
      <w:pPr>
        <w:pStyle w:val="afa"/>
        <w:rPr>
          <w:color w:val="000000" w:themeColor="text1"/>
        </w:rPr>
      </w:pPr>
      <w:r w:rsidRPr="000930C7">
        <w:footnoteRef/>
      </w:r>
      <w:r w:rsidRPr="00F97099">
        <w:rPr>
          <w:color w:val="000000" w:themeColor="text1"/>
        </w:rPr>
        <w:t xml:space="preserve"> </w:t>
      </w:r>
      <w:r w:rsidRPr="00F97099">
        <w:rPr>
          <w:rFonts w:hint="eastAsia"/>
          <w:color w:val="000000" w:themeColor="text1"/>
        </w:rPr>
        <w:t>「檢察機關辦案期限及防止稽延實施要點」第44點：「檢察官有下列各款情形之一者，依法務部及所屬各機關人員獎懲案件處理要點（下稱獎懲案件處理要點）懲處之：（一）檢察官對於偵查案件『無故未接續進行』繼續6個月以上者，或全年新發生『無故逾3月未進行』或『無故或藉故拖延逾期不結』之案件總計逾30件者，得依其情節，發命令促其注意或警告，必要時並得調整其職務或報請調整至事務較簡之檢察機關。（二）主任檢察官全年全組『無故逾3月未進行』或『無故或藉故拖延逾期不結』之案件累計之總數除以該組檢察官人數所得商數超過15件者，得依其情節，發命令促其注意或警告。（三）檢察長全年全署『無故逾3月未進行』或『無故或藉故拖延逾期不結』之案件累計之總數除以該署檢察官人數所得商數超過15件者，得依其情節，發命令促其注意或警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2152A3B"/>
    <w:multiLevelType w:val="hybridMultilevel"/>
    <w:tmpl w:val="BDA881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16F12F8"/>
    <w:multiLevelType w:val="hybridMultilevel"/>
    <w:tmpl w:val="1022374A"/>
    <w:lvl w:ilvl="0" w:tplc="F53C8ED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331D29"/>
    <w:multiLevelType w:val="hybridMultilevel"/>
    <w:tmpl w:val="063EFC4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D906723C"/>
    <w:lvl w:ilvl="0" w:tplc="CEDA1F84">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4953B9"/>
    <w:multiLevelType w:val="hybridMultilevel"/>
    <w:tmpl w:val="A5A085F8"/>
    <w:lvl w:ilvl="0" w:tplc="059C8EA0">
      <w:start w:val="1"/>
      <w:numFmt w:val="taiwaneseCountingThousand"/>
      <w:lvlText w:val="%1、"/>
      <w:lvlJc w:val="left"/>
      <w:pPr>
        <w:ind w:left="820" w:hanging="480"/>
      </w:pPr>
      <w:rPr>
        <w:rFonts w:hint="eastAsia"/>
        <w:lang w:val="en-US"/>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8"/>
  </w:num>
  <w:num w:numId="23">
    <w:abstractNumId w:val="4"/>
  </w:num>
  <w:num w:numId="24">
    <w:abstractNumId w:val="9"/>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0"/>
  </w:num>
  <w:num w:numId="29">
    <w:abstractNumId w:val="10"/>
  </w:num>
  <w:num w:numId="30">
    <w:abstractNumId w:val="6"/>
  </w:num>
  <w:num w:numId="31">
    <w:abstractNumId w:val="6"/>
  </w:num>
  <w:num w:numId="32">
    <w:abstractNumId w:val="1"/>
  </w:num>
  <w:num w:numId="33">
    <w:abstractNumId w:val="1"/>
  </w:num>
  <w:num w:numId="34">
    <w:abstractNumId w:val="1"/>
  </w:num>
  <w:num w:numId="35">
    <w:abstractNumId w:val="11"/>
    <w:lvlOverride w:ilvl="0">
      <w:startOverride w:val="1"/>
    </w:lvlOverride>
  </w:num>
  <w:num w:numId="36">
    <w:abstractNumId w:val="5"/>
  </w:num>
  <w:num w:numId="37">
    <w:abstractNumId w:val="3"/>
  </w:num>
  <w:num w:numId="38">
    <w:abstractNumId w:val="7"/>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265F"/>
    <w:rsid w:val="00036D76"/>
    <w:rsid w:val="00050778"/>
    <w:rsid w:val="000512D1"/>
    <w:rsid w:val="00051E56"/>
    <w:rsid w:val="00052DED"/>
    <w:rsid w:val="00057F32"/>
    <w:rsid w:val="00057F34"/>
    <w:rsid w:val="00062A25"/>
    <w:rsid w:val="00065D08"/>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091A"/>
    <w:rsid w:val="00102B9F"/>
    <w:rsid w:val="00112637"/>
    <w:rsid w:val="00112C7F"/>
    <w:rsid w:val="0012001E"/>
    <w:rsid w:val="00126A55"/>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7024"/>
    <w:rsid w:val="001C0D8B"/>
    <w:rsid w:val="001C0DA8"/>
    <w:rsid w:val="001E0D8A"/>
    <w:rsid w:val="001E67BA"/>
    <w:rsid w:val="001E74C2"/>
    <w:rsid w:val="001F5A48"/>
    <w:rsid w:val="001F6260"/>
    <w:rsid w:val="00200007"/>
    <w:rsid w:val="002030A5"/>
    <w:rsid w:val="00203131"/>
    <w:rsid w:val="00212E88"/>
    <w:rsid w:val="00213C9C"/>
    <w:rsid w:val="0021755A"/>
    <w:rsid w:val="0022009E"/>
    <w:rsid w:val="0022425C"/>
    <w:rsid w:val="002246DE"/>
    <w:rsid w:val="00237D89"/>
    <w:rsid w:val="002421B5"/>
    <w:rsid w:val="00250580"/>
    <w:rsid w:val="0025106C"/>
    <w:rsid w:val="00251D15"/>
    <w:rsid w:val="00252BC4"/>
    <w:rsid w:val="00254014"/>
    <w:rsid w:val="00261B29"/>
    <w:rsid w:val="0026504D"/>
    <w:rsid w:val="00273A2F"/>
    <w:rsid w:val="00280986"/>
    <w:rsid w:val="00281ECE"/>
    <w:rsid w:val="002831C7"/>
    <w:rsid w:val="002840C6"/>
    <w:rsid w:val="00286B1B"/>
    <w:rsid w:val="00295174"/>
    <w:rsid w:val="00296172"/>
    <w:rsid w:val="00296B92"/>
    <w:rsid w:val="002A2C22"/>
    <w:rsid w:val="002B02EB"/>
    <w:rsid w:val="002B5DC5"/>
    <w:rsid w:val="002C0602"/>
    <w:rsid w:val="002D5C16"/>
    <w:rsid w:val="002E1E64"/>
    <w:rsid w:val="002E45A1"/>
    <w:rsid w:val="002F3DFF"/>
    <w:rsid w:val="002F4D63"/>
    <w:rsid w:val="002F5E05"/>
    <w:rsid w:val="0030654A"/>
    <w:rsid w:val="00317053"/>
    <w:rsid w:val="0032109C"/>
    <w:rsid w:val="00322B45"/>
    <w:rsid w:val="00323809"/>
    <w:rsid w:val="00323D41"/>
    <w:rsid w:val="00325414"/>
    <w:rsid w:val="003302F1"/>
    <w:rsid w:val="0034470E"/>
    <w:rsid w:val="00347E4E"/>
    <w:rsid w:val="00352DB0"/>
    <w:rsid w:val="00371833"/>
    <w:rsid w:val="00371ED3"/>
    <w:rsid w:val="00372C51"/>
    <w:rsid w:val="0037728A"/>
    <w:rsid w:val="00380B7D"/>
    <w:rsid w:val="00381A99"/>
    <w:rsid w:val="003829C2"/>
    <w:rsid w:val="00384724"/>
    <w:rsid w:val="003919B7"/>
    <w:rsid w:val="00391D27"/>
    <w:rsid w:val="00391D57"/>
    <w:rsid w:val="00392292"/>
    <w:rsid w:val="003A0F36"/>
    <w:rsid w:val="003A5B7B"/>
    <w:rsid w:val="003B1017"/>
    <w:rsid w:val="003B3C07"/>
    <w:rsid w:val="003B6775"/>
    <w:rsid w:val="003C5FE2"/>
    <w:rsid w:val="003D05FB"/>
    <w:rsid w:val="003D1B16"/>
    <w:rsid w:val="003D45BF"/>
    <w:rsid w:val="003D508A"/>
    <w:rsid w:val="003D537F"/>
    <w:rsid w:val="003D7B75"/>
    <w:rsid w:val="003E0208"/>
    <w:rsid w:val="003E13C7"/>
    <w:rsid w:val="003E4B57"/>
    <w:rsid w:val="003F27E1"/>
    <w:rsid w:val="003F437A"/>
    <w:rsid w:val="003F5C2B"/>
    <w:rsid w:val="004023E9"/>
    <w:rsid w:val="00412E8C"/>
    <w:rsid w:val="00413EBD"/>
    <w:rsid w:val="00413F83"/>
    <w:rsid w:val="0041490C"/>
    <w:rsid w:val="00416191"/>
    <w:rsid w:val="00416721"/>
    <w:rsid w:val="00421EF0"/>
    <w:rsid w:val="004224FA"/>
    <w:rsid w:val="00423D07"/>
    <w:rsid w:val="004255DB"/>
    <w:rsid w:val="0044346F"/>
    <w:rsid w:val="0046520A"/>
    <w:rsid w:val="004672AB"/>
    <w:rsid w:val="004714FE"/>
    <w:rsid w:val="00483ACE"/>
    <w:rsid w:val="00485CDE"/>
    <w:rsid w:val="00495053"/>
    <w:rsid w:val="00496AA0"/>
    <w:rsid w:val="004A1F59"/>
    <w:rsid w:val="004A29BE"/>
    <w:rsid w:val="004A3225"/>
    <w:rsid w:val="004A33EE"/>
    <w:rsid w:val="004A3AA8"/>
    <w:rsid w:val="004B13C7"/>
    <w:rsid w:val="004B778F"/>
    <w:rsid w:val="004C5DD4"/>
    <w:rsid w:val="004D141F"/>
    <w:rsid w:val="004D2B78"/>
    <w:rsid w:val="004D6310"/>
    <w:rsid w:val="004E0062"/>
    <w:rsid w:val="004E05A1"/>
    <w:rsid w:val="004F5E57"/>
    <w:rsid w:val="004F6710"/>
    <w:rsid w:val="004F6884"/>
    <w:rsid w:val="00500502"/>
    <w:rsid w:val="00502849"/>
    <w:rsid w:val="00504334"/>
    <w:rsid w:val="00505139"/>
    <w:rsid w:val="005104D7"/>
    <w:rsid w:val="00510B9E"/>
    <w:rsid w:val="00513587"/>
    <w:rsid w:val="00531D2C"/>
    <w:rsid w:val="00536BC2"/>
    <w:rsid w:val="005425E1"/>
    <w:rsid w:val="005427C5"/>
    <w:rsid w:val="00542CF6"/>
    <w:rsid w:val="00553C03"/>
    <w:rsid w:val="00563692"/>
    <w:rsid w:val="00571349"/>
    <w:rsid w:val="005908B8"/>
    <w:rsid w:val="0059512E"/>
    <w:rsid w:val="005A4ACE"/>
    <w:rsid w:val="005A6DD2"/>
    <w:rsid w:val="005B2339"/>
    <w:rsid w:val="005C385D"/>
    <w:rsid w:val="005C5D94"/>
    <w:rsid w:val="005D13DA"/>
    <w:rsid w:val="005D3B20"/>
    <w:rsid w:val="005E5C68"/>
    <w:rsid w:val="005E65C0"/>
    <w:rsid w:val="005F0390"/>
    <w:rsid w:val="00600832"/>
    <w:rsid w:val="00610C7C"/>
    <w:rsid w:val="00612023"/>
    <w:rsid w:val="00614190"/>
    <w:rsid w:val="00614D09"/>
    <w:rsid w:val="00622A99"/>
    <w:rsid w:val="00622E67"/>
    <w:rsid w:val="00626EDC"/>
    <w:rsid w:val="00645404"/>
    <w:rsid w:val="006470EC"/>
    <w:rsid w:val="0065598E"/>
    <w:rsid w:val="00655AF2"/>
    <w:rsid w:val="006568BE"/>
    <w:rsid w:val="0065709B"/>
    <w:rsid w:val="0066025D"/>
    <w:rsid w:val="006773EC"/>
    <w:rsid w:val="00680504"/>
    <w:rsid w:val="00681CD9"/>
    <w:rsid w:val="00683E30"/>
    <w:rsid w:val="00687024"/>
    <w:rsid w:val="00696415"/>
    <w:rsid w:val="006A16EF"/>
    <w:rsid w:val="006B0504"/>
    <w:rsid w:val="006D3691"/>
    <w:rsid w:val="006E2DCE"/>
    <w:rsid w:val="006F3563"/>
    <w:rsid w:val="006F42B9"/>
    <w:rsid w:val="006F6103"/>
    <w:rsid w:val="00704E00"/>
    <w:rsid w:val="007209E7"/>
    <w:rsid w:val="00726182"/>
    <w:rsid w:val="00732329"/>
    <w:rsid w:val="007337CA"/>
    <w:rsid w:val="00734CE4"/>
    <w:rsid w:val="00734F1B"/>
    <w:rsid w:val="00735123"/>
    <w:rsid w:val="007359C3"/>
    <w:rsid w:val="00741837"/>
    <w:rsid w:val="007453E6"/>
    <w:rsid w:val="0075243E"/>
    <w:rsid w:val="007528E3"/>
    <w:rsid w:val="00753185"/>
    <w:rsid w:val="00760416"/>
    <w:rsid w:val="007666F5"/>
    <w:rsid w:val="0077041A"/>
    <w:rsid w:val="0077309D"/>
    <w:rsid w:val="007774EE"/>
    <w:rsid w:val="00777EE7"/>
    <w:rsid w:val="00781822"/>
    <w:rsid w:val="00783F21"/>
    <w:rsid w:val="00787159"/>
    <w:rsid w:val="00791668"/>
    <w:rsid w:val="00791AA1"/>
    <w:rsid w:val="007A3793"/>
    <w:rsid w:val="007C1BA2"/>
    <w:rsid w:val="007D20E9"/>
    <w:rsid w:val="007D7881"/>
    <w:rsid w:val="007D7E3A"/>
    <w:rsid w:val="007E041A"/>
    <w:rsid w:val="007E0E10"/>
    <w:rsid w:val="007E4768"/>
    <w:rsid w:val="007E5BDD"/>
    <w:rsid w:val="007E777B"/>
    <w:rsid w:val="007F2070"/>
    <w:rsid w:val="008053F5"/>
    <w:rsid w:val="00810198"/>
    <w:rsid w:val="00815DA8"/>
    <w:rsid w:val="0082194D"/>
    <w:rsid w:val="00826EF5"/>
    <w:rsid w:val="00831693"/>
    <w:rsid w:val="0083347C"/>
    <w:rsid w:val="00840104"/>
    <w:rsid w:val="00841FC5"/>
    <w:rsid w:val="008450FF"/>
    <w:rsid w:val="00845709"/>
    <w:rsid w:val="008576BD"/>
    <w:rsid w:val="00860463"/>
    <w:rsid w:val="008733DA"/>
    <w:rsid w:val="008850E4"/>
    <w:rsid w:val="00886FD0"/>
    <w:rsid w:val="0089262E"/>
    <w:rsid w:val="00893FE5"/>
    <w:rsid w:val="008A12F5"/>
    <w:rsid w:val="008A3A79"/>
    <w:rsid w:val="008B1587"/>
    <w:rsid w:val="008B1B01"/>
    <w:rsid w:val="008B3BCD"/>
    <w:rsid w:val="008B4841"/>
    <w:rsid w:val="008B6DF8"/>
    <w:rsid w:val="008B7E66"/>
    <w:rsid w:val="008C106C"/>
    <w:rsid w:val="008C10F1"/>
    <w:rsid w:val="008C1E99"/>
    <w:rsid w:val="008E0085"/>
    <w:rsid w:val="008E2AA6"/>
    <w:rsid w:val="008E311B"/>
    <w:rsid w:val="008F061C"/>
    <w:rsid w:val="008F46E7"/>
    <w:rsid w:val="008F6F0B"/>
    <w:rsid w:val="00907BA7"/>
    <w:rsid w:val="0091064E"/>
    <w:rsid w:val="00911FC5"/>
    <w:rsid w:val="00931A10"/>
    <w:rsid w:val="00931CDA"/>
    <w:rsid w:val="00947967"/>
    <w:rsid w:val="00952A14"/>
    <w:rsid w:val="00965200"/>
    <w:rsid w:val="009668B3"/>
    <w:rsid w:val="009709F2"/>
    <w:rsid w:val="00971471"/>
    <w:rsid w:val="009849C2"/>
    <w:rsid w:val="00984D24"/>
    <w:rsid w:val="009858EB"/>
    <w:rsid w:val="00990907"/>
    <w:rsid w:val="009944B3"/>
    <w:rsid w:val="009B0046"/>
    <w:rsid w:val="009C1440"/>
    <w:rsid w:val="009C2107"/>
    <w:rsid w:val="009C5860"/>
    <w:rsid w:val="009C5D9E"/>
    <w:rsid w:val="009D2C3E"/>
    <w:rsid w:val="009E0625"/>
    <w:rsid w:val="009E3034"/>
    <w:rsid w:val="009E35EC"/>
    <w:rsid w:val="009E549F"/>
    <w:rsid w:val="009F28A8"/>
    <w:rsid w:val="009F2C9A"/>
    <w:rsid w:val="009F473E"/>
    <w:rsid w:val="009F682A"/>
    <w:rsid w:val="00A022BE"/>
    <w:rsid w:val="00A077B6"/>
    <w:rsid w:val="00A12484"/>
    <w:rsid w:val="00A24C95"/>
    <w:rsid w:val="00A26094"/>
    <w:rsid w:val="00A301BF"/>
    <w:rsid w:val="00A302B2"/>
    <w:rsid w:val="00A331B4"/>
    <w:rsid w:val="00A3484E"/>
    <w:rsid w:val="00A36ADA"/>
    <w:rsid w:val="00A438D8"/>
    <w:rsid w:val="00A473F5"/>
    <w:rsid w:val="00A509A6"/>
    <w:rsid w:val="00A51F9D"/>
    <w:rsid w:val="00A5416A"/>
    <w:rsid w:val="00A57EA7"/>
    <w:rsid w:val="00A639F4"/>
    <w:rsid w:val="00A81A32"/>
    <w:rsid w:val="00A835BD"/>
    <w:rsid w:val="00A97B15"/>
    <w:rsid w:val="00AA42D5"/>
    <w:rsid w:val="00AB2FAB"/>
    <w:rsid w:val="00AB5C14"/>
    <w:rsid w:val="00AC1EE7"/>
    <w:rsid w:val="00AC333F"/>
    <w:rsid w:val="00AC585C"/>
    <w:rsid w:val="00AD1925"/>
    <w:rsid w:val="00AE067D"/>
    <w:rsid w:val="00AE3264"/>
    <w:rsid w:val="00AF1181"/>
    <w:rsid w:val="00AF2F79"/>
    <w:rsid w:val="00AF4653"/>
    <w:rsid w:val="00AF72A3"/>
    <w:rsid w:val="00AF7DB7"/>
    <w:rsid w:val="00B008D7"/>
    <w:rsid w:val="00B02D3D"/>
    <w:rsid w:val="00B263DF"/>
    <w:rsid w:val="00B41859"/>
    <w:rsid w:val="00B41EF6"/>
    <w:rsid w:val="00B443E4"/>
    <w:rsid w:val="00B563EA"/>
    <w:rsid w:val="00B60E51"/>
    <w:rsid w:val="00B63A54"/>
    <w:rsid w:val="00B66E1D"/>
    <w:rsid w:val="00B77D18"/>
    <w:rsid w:val="00B8313A"/>
    <w:rsid w:val="00B83C6B"/>
    <w:rsid w:val="00B93503"/>
    <w:rsid w:val="00BA31E8"/>
    <w:rsid w:val="00BA55E0"/>
    <w:rsid w:val="00BA6BD4"/>
    <w:rsid w:val="00BB3752"/>
    <w:rsid w:val="00BB6688"/>
    <w:rsid w:val="00BC26D4"/>
    <w:rsid w:val="00BC41A6"/>
    <w:rsid w:val="00BC64F2"/>
    <w:rsid w:val="00BD7D5D"/>
    <w:rsid w:val="00BF2A42"/>
    <w:rsid w:val="00BF3655"/>
    <w:rsid w:val="00C03D8C"/>
    <w:rsid w:val="00C055EC"/>
    <w:rsid w:val="00C10DC9"/>
    <w:rsid w:val="00C120A6"/>
    <w:rsid w:val="00C12FB3"/>
    <w:rsid w:val="00C17341"/>
    <w:rsid w:val="00C24EEF"/>
    <w:rsid w:val="00C25CF6"/>
    <w:rsid w:val="00C26C36"/>
    <w:rsid w:val="00C32768"/>
    <w:rsid w:val="00C41193"/>
    <w:rsid w:val="00C429AA"/>
    <w:rsid w:val="00C431DF"/>
    <w:rsid w:val="00C456BD"/>
    <w:rsid w:val="00C530DC"/>
    <w:rsid w:val="00C5350D"/>
    <w:rsid w:val="00C6123C"/>
    <w:rsid w:val="00C630E3"/>
    <w:rsid w:val="00C7084D"/>
    <w:rsid w:val="00C7315E"/>
    <w:rsid w:val="00C75895"/>
    <w:rsid w:val="00C83C9F"/>
    <w:rsid w:val="00C86866"/>
    <w:rsid w:val="00C94840"/>
    <w:rsid w:val="00CA6AC8"/>
    <w:rsid w:val="00CB027F"/>
    <w:rsid w:val="00CB387B"/>
    <w:rsid w:val="00CC6297"/>
    <w:rsid w:val="00CC7690"/>
    <w:rsid w:val="00CD1986"/>
    <w:rsid w:val="00CE4D5C"/>
    <w:rsid w:val="00CF05DA"/>
    <w:rsid w:val="00CF58EB"/>
    <w:rsid w:val="00D0106E"/>
    <w:rsid w:val="00D06383"/>
    <w:rsid w:val="00D20E85"/>
    <w:rsid w:val="00D24615"/>
    <w:rsid w:val="00D27557"/>
    <w:rsid w:val="00D37842"/>
    <w:rsid w:val="00D42DC2"/>
    <w:rsid w:val="00D44777"/>
    <w:rsid w:val="00D537E1"/>
    <w:rsid w:val="00D55BB2"/>
    <w:rsid w:val="00D6091A"/>
    <w:rsid w:val="00D6695F"/>
    <w:rsid w:val="00D736F4"/>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4146"/>
    <w:rsid w:val="00DF6462"/>
    <w:rsid w:val="00DF69F2"/>
    <w:rsid w:val="00E02FA0"/>
    <w:rsid w:val="00E036DC"/>
    <w:rsid w:val="00E10454"/>
    <w:rsid w:val="00E112E5"/>
    <w:rsid w:val="00E1576A"/>
    <w:rsid w:val="00E21CC7"/>
    <w:rsid w:val="00E24D9E"/>
    <w:rsid w:val="00E25849"/>
    <w:rsid w:val="00E30BEA"/>
    <w:rsid w:val="00E3197E"/>
    <w:rsid w:val="00E342F8"/>
    <w:rsid w:val="00E351ED"/>
    <w:rsid w:val="00E46702"/>
    <w:rsid w:val="00E6034B"/>
    <w:rsid w:val="00E6549E"/>
    <w:rsid w:val="00E65EDE"/>
    <w:rsid w:val="00E70F81"/>
    <w:rsid w:val="00E7261B"/>
    <w:rsid w:val="00E77055"/>
    <w:rsid w:val="00E77460"/>
    <w:rsid w:val="00E83ABC"/>
    <w:rsid w:val="00E844F2"/>
    <w:rsid w:val="00E92FCB"/>
    <w:rsid w:val="00E953DE"/>
    <w:rsid w:val="00EA147F"/>
    <w:rsid w:val="00ED03AB"/>
    <w:rsid w:val="00ED0CAC"/>
    <w:rsid w:val="00ED1CD4"/>
    <w:rsid w:val="00ED1D2B"/>
    <w:rsid w:val="00ED5505"/>
    <w:rsid w:val="00ED64B5"/>
    <w:rsid w:val="00ED768A"/>
    <w:rsid w:val="00EE7CCA"/>
    <w:rsid w:val="00F05E11"/>
    <w:rsid w:val="00F16A14"/>
    <w:rsid w:val="00F201DD"/>
    <w:rsid w:val="00F231DC"/>
    <w:rsid w:val="00F362D7"/>
    <w:rsid w:val="00F37D7B"/>
    <w:rsid w:val="00F45027"/>
    <w:rsid w:val="00F456EB"/>
    <w:rsid w:val="00F46888"/>
    <w:rsid w:val="00F5314C"/>
    <w:rsid w:val="00F635DD"/>
    <w:rsid w:val="00F6627B"/>
    <w:rsid w:val="00F734F2"/>
    <w:rsid w:val="00F75052"/>
    <w:rsid w:val="00F77BEF"/>
    <w:rsid w:val="00F804D3"/>
    <w:rsid w:val="00F81CD2"/>
    <w:rsid w:val="00F82641"/>
    <w:rsid w:val="00F90F18"/>
    <w:rsid w:val="00F937E4"/>
    <w:rsid w:val="00F940BE"/>
    <w:rsid w:val="00F95EE7"/>
    <w:rsid w:val="00FA39E6"/>
    <w:rsid w:val="00FA7BC9"/>
    <w:rsid w:val="00FB378E"/>
    <w:rsid w:val="00FB37F1"/>
    <w:rsid w:val="00FB47C0"/>
    <w:rsid w:val="00FB501B"/>
    <w:rsid w:val="00FB7770"/>
    <w:rsid w:val="00FD3B91"/>
    <w:rsid w:val="00FD576B"/>
    <w:rsid w:val="00FD579E"/>
    <w:rsid w:val="00FE4516"/>
    <w:rsid w:val="00FF10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09BC6C-5487-4459-8913-5B4C8AEB5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E46702"/>
    <w:pPr>
      <w:snapToGrid w:val="0"/>
      <w:jc w:val="left"/>
    </w:pPr>
    <w:rPr>
      <w:sz w:val="20"/>
    </w:rPr>
  </w:style>
  <w:style w:type="character" w:customStyle="1" w:styleId="afb">
    <w:name w:val="註腳文字 字元"/>
    <w:basedOn w:val="a7"/>
    <w:link w:val="afa"/>
    <w:uiPriority w:val="99"/>
    <w:rsid w:val="00E46702"/>
    <w:rPr>
      <w:rFonts w:ascii="標楷體" w:eastAsia="標楷體"/>
      <w:kern w:val="2"/>
    </w:rPr>
  </w:style>
  <w:style w:type="character" w:styleId="afc">
    <w:name w:val="footnote reference"/>
    <w:basedOn w:val="a7"/>
    <w:uiPriority w:val="99"/>
    <w:semiHidden/>
    <w:unhideWhenUsed/>
    <w:rsid w:val="00E46702"/>
    <w:rPr>
      <w:vertAlign w:val="superscript"/>
    </w:rPr>
  </w:style>
  <w:style w:type="table" w:customStyle="1" w:styleId="13">
    <w:name w:val="表格格線1"/>
    <w:basedOn w:val="a8"/>
    <w:next w:val="af6"/>
    <w:uiPriority w:val="59"/>
    <w:rsid w:val="00E4670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h\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3F36A-3AA2-4F2C-8186-5F076A485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6</TotalTime>
  <Pages>23</Pages>
  <Words>2252</Words>
  <Characters>12837</Characters>
  <Application>Microsoft Office Word</Application>
  <DocSecurity>0</DocSecurity>
  <Lines>106</Lines>
  <Paragraphs>30</Paragraphs>
  <ScaleCrop>false</ScaleCrop>
  <Company>cy</Company>
  <LinksUpToDate>false</LinksUpToDate>
  <CharactersWithSpaces>15059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jhh</dc:creator>
  <cp:lastModifiedBy>林秀珍</cp:lastModifiedBy>
  <cp:revision>10</cp:revision>
  <cp:lastPrinted>2017-02-09T09:06:00Z</cp:lastPrinted>
  <dcterms:created xsi:type="dcterms:W3CDTF">2017-02-21T00:58:00Z</dcterms:created>
  <dcterms:modified xsi:type="dcterms:W3CDTF">2017-02-21T06:16:00Z</dcterms:modified>
</cp:coreProperties>
</file>